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509C8" w14:textId="1F93FF8A" w:rsidR="00C3309D" w:rsidRPr="00024E1A" w:rsidRDefault="00242F53" w:rsidP="007D1237">
      <w:pPr>
        <w:pStyle w:val="CM8"/>
        <w:spacing w:before="100" w:beforeAutospacing="1" w:after="100" w:afterAutospacing="1" w:line="276" w:lineRule="atLeast"/>
        <w:rPr>
          <w:b/>
          <w:bCs/>
          <w:sz w:val="22"/>
          <w:szCs w:val="22"/>
        </w:rPr>
      </w:pPr>
      <w:r w:rsidRPr="00024E1A">
        <w:rPr>
          <w:noProof/>
          <w:sz w:val="22"/>
          <w:szCs w:val="22"/>
          <w:lang w:eastAsia="en-GB"/>
        </w:rPr>
        <w:drawing>
          <wp:anchor distT="0" distB="0" distL="114300" distR="114300" simplePos="0" relativeHeight="251656704" behindDoc="1" locked="0" layoutInCell="1" allowOverlap="1" wp14:anchorId="2FC906CA" wp14:editId="0077E4A6">
            <wp:simplePos x="0" y="0"/>
            <wp:positionH relativeFrom="column">
              <wp:posOffset>-61595</wp:posOffset>
            </wp:positionH>
            <wp:positionV relativeFrom="page">
              <wp:posOffset>702310</wp:posOffset>
            </wp:positionV>
            <wp:extent cx="988060" cy="960755"/>
            <wp:effectExtent l="0" t="0" r="0" b="0"/>
            <wp:wrapNone/>
            <wp:docPr id="3" name="Picture 1" descr="Description: New logo (Gr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logo (Gregg)"/>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l="14421" t="14935" r="17168" b="16995"/>
                    <a:stretch>
                      <a:fillRect/>
                    </a:stretch>
                  </pic:blipFill>
                  <pic:spPr bwMode="auto">
                    <a:xfrm>
                      <a:off x="0" y="0"/>
                      <a:ext cx="988060" cy="960755"/>
                    </a:xfrm>
                    <a:prstGeom prst="rect">
                      <a:avLst/>
                    </a:prstGeom>
                    <a:noFill/>
                    <a:ln>
                      <a:noFill/>
                    </a:ln>
                  </pic:spPr>
                </pic:pic>
              </a:graphicData>
            </a:graphic>
            <wp14:sizeRelH relativeFrom="page">
              <wp14:pctWidth>0</wp14:pctWidth>
            </wp14:sizeRelH>
            <wp14:sizeRelV relativeFrom="page">
              <wp14:pctHeight>0</wp14:pctHeight>
            </wp14:sizeRelV>
          </wp:anchor>
        </w:drawing>
      </w:r>
      <w:r w:rsidR="00095223" w:rsidRPr="00024E1A">
        <w:rPr>
          <w:noProof/>
          <w:sz w:val="22"/>
          <w:szCs w:val="22"/>
          <w:lang w:eastAsia="en-GB"/>
        </w:rPr>
        <w:drawing>
          <wp:anchor distT="0" distB="0" distL="114300" distR="114300" simplePos="0" relativeHeight="251660800" behindDoc="1" locked="0" layoutInCell="1" allowOverlap="1" wp14:anchorId="20A568AB" wp14:editId="2B739F79">
            <wp:simplePos x="0" y="0"/>
            <wp:positionH relativeFrom="column">
              <wp:posOffset>5251450</wp:posOffset>
            </wp:positionH>
            <wp:positionV relativeFrom="page">
              <wp:posOffset>660400</wp:posOffset>
            </wp:positionV>
            <wp:extent cx="988060" cy="960755"/>
            <wp:effectExtent l="0" t="0" r="0" b="0"/>
            <wp:wrapNone/>
            <wp:docPr id="2" name="Picture 1" descr="Description: New logo (Gr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logo (Gregg)"/>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l="14421" t="14935" r="17168" b="16995"/>
                    <a:stretch>
                      <a:fillRect/>
                    </a:stretch>
                  </pic:blipFill>
                  <pic:spPr bwMode="auto">
                    <a:xfrm>
                      <a:off x="0" y="0"/>
                      <a:ext cx="988060" cy="960755"/>
                    </a:xfrm>
                    <a:prstGeom prst="rect">
                      <a:avLst/>
                    </a:prstGeom>
                    <a:noFill/>
                    <a:ln>
                      <a:noFill/>
                    </a:ln>
                  </pic:spPr>
                </pic:pic>
              </a:graphicData>
            </a:graphic>
            <wp14:sizeRelH relativeFrom="page">
              <wp14:pctWidth>0</wp14:pctWidth>
            </wp14:sizeRelH>
            <wp14:sizeRelV relativeFrom="page">
              <wp14:pctHeight>0</wp14:pctHeight>
            </wp14:sizeRelV>
          </wp:anchor>
        </w:drawing>
      </w:r>
      <w:r w:rsidR="00962A91" w:rsidRPr="00024E1A">
        <w:rPr>
          <w:noProof/>
          <w:sz w:val="22"/>
          <w:szCs w:val="22"/>
          <w:lang w:eastAsia="en-GB"/>
        </w:rPr>
        <mc:AlternateContent>
          <mc:Choice Requires="wps">
            <w:drawing>
              <wp:anchor distT="0" distB="0" distL="114300" distR="114300" simplePos="0" relativeHeight="251658752" behindDoc="0" locked="0" layoutInCell="1" allowOverlap="1" wp14:anchorId="02F10CC3" wp14:editId="59387431">
                <wp:simplePos x="0" y="0"/>
                <wp:positionH relativeFrom="column">
                  <wp:posOffset>1266825</wp:posOffset>
                </wp:positionH>
                <wp:positionV relativeFrom="paragraph">
                  <wp:posOffset>-70485</wp:posOffset>
                </wp:positionV>
                <wp:extent cx="3914775" cy="9867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E9BFD1" w14:textId="77777777" w:rsidR="00951E8E" w:rsidRDefault="00951E8E" w:rsidP="00C3309D">
                            <w:pPr>
                              <w:jc w:val="center"/>
                              <w:rPr>
                                <w:rFonts w:cs="Arial"/>
                                <w:b/>
                                <w:sz w:val="36"/>
                                <w:szCs w:val="36"/>
                              </w:rPr>
                            </w:pPr>
                            <w:r>
                              <w:rPr>
                                <w:rFonts w:cs="Arial"/>
                                <w:b/>
                                <w:sz w:val="36"/>
                                <w:szCs w:val="36"/>
                              </w:rPr>
                              <w:t>The Gregg Schools</w:t>
                            </w:r>
                          </w:p>
                          <w:p w14:paraId="3870737E" w14:textId="77777777" w:rsidR="004558F3" w:rsidRPr="002C67A1" w:rsidRDefault="004558F3" w:rsidP="00C3309D">
                            <w:pPr>
                              <w:jc w:val="center"/>
                              <w:rPr>
                                <w:rFonts w:cs="Arial"/>
                                <w:b/>
                                <w:sz w:val="36"/>
                                <w:szCs w:val="36"/>
                              </w:rPr>
                            </w:pPr>
                            <w:r>
                              <w:rPr>
                                <w:rFonts w:cs="Arial"/>
                                <w:b/>
                                <w:sz w:val="36"/>
                                <w:szCs w:val="36"/>
                              </w:rPr>
                              <w:t>EHCP and EAL Policy</w:t>
                            </w:r>
                          </w:p>
                          <w:p w14:paraId="4D0B75F3" w14:textId="77777777" w:rsidR="00951E8E" w:rsidRDefault="00951E8E" w:rsidP="00C330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10CC3" id="_x0000_t202" coordsize="21600,21600" o:spt="202" path="m,l,21600r21600,l21600,xe">
                <v:stroke joinstyle="miter"/>
                <v:path gradientshapeok="t" o:connecttype="rect"/>
              </v:shapetype>
              <v:shape id="Text Box 3" o:spid="_x0000_s1026" type="#_x0000_t202" style="position:absolute;margin-left:99.75pt;margin-top:-5.55pt;width:308.25pt;height:7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" stroked="f">
                <v:textbox>
                  <w:txbxContent>
                    <w:p w14:paraId="0EE9BFD1" w14:textId="77777777" w:rsidR="00951E8E" w:rsidRDefault="00951E8E" w:rsidP="00C3309D">
                      <w:pPr>
                        <w:jc w:val="center"/>
                        <w:rPr>
                          <w:rFonts w:cs="Arial"/>
                          <w:b/>
                          <w:sz w:val="36"/>
                          <w:szCs w:val="36"/>
                        </w:rPr>
                      </w:pPr>
                      <w:r>
                        <w:rPr>
                          <w:rFonts w:cs="Arial"/>
                          <w:b/>
                          <w:sz w:val="36"/>
                          <w:szCs w:val="36"/>
                        </w:rPr>
                        <w:t>The Gregg Schools</w:t>
                      </w:r>
                    </w:p>
                    <w:p w14:paraId="3870737E" w14:textId="77777777" w:rsidR="004558F3" w:rsidRPr="002C67A1" w:rsidRDefault="004558F3" w:rsidP="00C3309D">
                      <w:pPr>
                        <w:jc w:val="center"/>
                        <w:rPr>
                          <w:rFonts w:cs="Arial"/>
                          <w:b/>
                          <w:sz w:val="36"/>
                          <w:szCs w:val="36"/>
                        </w:rPr>
                      </w:pPr>
                      <w:r>
                        <w:rPr>
                          <w:rFonts w:cs="Arial"/>
                          <w:b/>
                          <w:sz w:val="36"/>
                          <w:szCs w:val="36"/>
                        </w:rPr>
                        <w:t>EHCP and EAL Policy</w:t>
                      </w:r>
                    </w:p>
                    <w:p w14:paraId="4D0B75F3" w14:textId="77777777" w:rsidR="00951E8E" w:rsidRDefault="00951E8E" w:rsidP="00C3309D"/>
                  </w:txbxContent>
                </v:textbox>
              </v:shape>
            </w:pict>
          </mc:Fallback>
        </mc:AlternateContent>
      </w:r>
    </w:p>
    <w:p w14:paraId="05052C41" w14:textId="77777777" w:rsidR="00C3309D" w:rsidRPr="00024E1A" w:rsidRDefault="00C3309D" w:rsidP="00C3309D">
      <w:pPr>
        <w:pStyle w:val="CM8"/>
        <w:spacing w:line="276" w:lineRule="atLeast"/>
        <w:rPr>
          <w:b/>
          <w:bCs/>
          <w:sz w:val="22"/>
          <w:szCs w:val="22"/>
        </w:rPr>
      </w:pPr>
      <w:r w:rsidRPr="00024E1A">
        <w:rPr>
          <w:b/>
          <w:bCs/>
          <w:sz w:val="22"/>
          <w:szCs w:val="22"/>
        </w:rPr>
        <w:tab/>
      </w:r>
    </w:p>
    <w:p w14:paraId="327F70FD" w14:textId="77777777" w:rsidR="00C3309D" w:rsidRPr="00024E1A" w:rsidRDefault="00C3309D" w:rsidP="00C3309D">
      <w:pPr>
        <w:pStyle w:val="Default"/>
        <w:rPr>
          <w:color w:val="auto"/>
          <w:sz w:val="22"/>
          <w:szCs w:val="22"/>
        </w:rPr>
      </w:pPr>
    </w:p>
    <w:p w14:paraId="5E1E564D" w14:textId="77777777" w:rsidR="00C3309D" w:rsidRPr="00024E1A" w:rsidRDefault="00C3309D" w:rsidP="00C3309D">
      <w:pPr>
        <w:autoSpaceDE w:val="0"/>
        <w:autoSpaceDN w:val="0"/>
        <w:adjustRightInd w:val="0"/>
        <w:outlineLvl w:val="0"/>
        <w:rPr>
          <w:rFonts w:cs="Arial"/>
          <w:sz w:val="22"/>
          <w:szCs w:val="22"/>
        </w:rPr>
      </w:pPr>
    </w:p>
    <w:p w14:paraId="4CE1B13F" w14:textId="77777777" w:rsidR="00742916" w:rsidRPr="00024E1A" w:rsidRDefault="00742916" w:rsidP="00C3309D">
      <w:pPr>
        <w:autoSpaceDE w:val="0"/>
        <w:autoSpaceDN w:val="0"/>
        <w:adjustRightInd w:val="0"/>
        <w:jc w:val="center"/>
        <w:outlineLvl w:val="0"/>
        <w:rPr>
          <w:rFonts w:cs="Arial"/>
          <w:b/>
          <w:bCs/>
          <w:sz w:val="22"/>
          <w:szCs w:val="22"/>
        </w:rPr>
      </w:pPr>
    </w:p>
    <w:p w14:paraId="09599F99" w14:textId="77777777" w:rsidR="00CA7A6C" w:rsidRPr="00086236" w:rsidRDefault="00CA7A6C" w:rsidP="00CA7A6C">
      <w:pPr>
        <w:spacing w:after="9" w:line="259" w:lineRule="auto"/>
        <w:ind w:left="37" w:hanging="10"/>
        <w:jc w:val="center"/>
        <w:rPr>
          <w:rFonts w:cs="Arial"/>
          <w:b/>
          <w:sz w:val="28"/>
          <w:szCs w:val="28"/>
        </w:rPr>
      </w:pPr>
    </w:p>
    <w:p w14:paraId="4E4C5EAA" w14:textId="77777777" w:rsidR="00CA7A6C" w:rsidRPr="00CA7A6C" w:rsidRDefault="00CA7A6C" w:rsidP="00CA7A6C">
      <w:pPr>
        <w:spacing w:after="9" w:line="259" w:lineRule="auto"/>
        <w:ind w:left="37" w:hanging="10"/>
        <w:jc w:val="center"/>
        <w:rPr>
          <w:rFonts w:cs="Arial"/>
          <w:b/>
          <w:sz w:val="28"/>
          <w:szCs w:val="28"/>
        </w:rPr>
      </w:pPr>
      <w:r w:rsidRPr="00CA7A6C">
        <w:rPr>
          <w:rFonts w:cs="Arial"/>
          <w:b/>
          <w:sz w:val="28"/>
          <w:szCs w:val="28"/>
        </w:rPr>
        <w:t xml:space="preserve">Arrangements for </w:t>
      </w:r>
      <w:r w:rsidR="004B5AA1">
        <w:rPr>
          <w:rFonts w:cs="Arial"/>
          <w:b/>
          <w:sz w:val="28"/>
          <w:szCs w:val="28"/>
        </w:rPr>
        <w:t>s</w:t>
      </w:r>
      <w:r w:rsidRPr="00CA7A6C">
        <w:rPr>
          <w:rFonts w:cs="Arial"/>
          <w:b/>
          <w:sz w:val="28"/>
          <w:szCs w:val="28"/>
        </w:rPr>
        <w:t xml:space="preserve">tudents with Educational Health </w:t>
      </w:r>
      <w:r w:rsidR="00972E15">
        <w:rPr>
          <w:rFonts w:cs="Arial"/>
          <w:b/>
          <w:sz w:val="28"/>
          <w:szCs w:val="28"/>
        </w:rPr>
        <w:t xml:space="preserve">and </w:t>
      </w:r>
      <w:r w:rsidRPr="00CA7A6C">
        <w:rPr>
          <w:rFonts w:cs="Arial"/>
          <w:b/>
          <w:sz w:val="28"/>
          <w:szCs w:val="28"/>
        </w:rPr>
        <w:t xml:space="preserve">Care (EHC) plans or who have English as an Additional Language (EAL) </w:t>
      </w:r>
    </w:p>
    <w:p w14:paraId="62D86E6E" w14:textId="77777777" w:rsidR="00CA7A6C" w:rsidRDefault="00CA7A6C" w:rsidP="00CA7A6C">
      <w:pPr>
        <w:spacing w:after="20" w:line="259" w:lineRule="auto"/>
      </w:pPr>
    </w:p>
    <w:p w14:paraId="24116787" w14:textId="77777777" w:rsidR="00CA7A6C" w:rsidRPr="0011786B" w:rsidRDefault="00CA7A6C" w:rsidP="00CA7A6C">
      <w:pPr>
        <w:pStyle w:val="ListParagraph"/>
        <w:numPr>
          <w:ilvl w:val="0"/>
          <w:numId w:val="2"/>
        </w:numPr>
        <w:spacing w:after="3" w:line="266" w:lineRule="auto"/>
        <w:ind w:right="100"/>
        <w:contextualSpacing/>
        <w:jc w:val="both"/>
        <w:rPr>
          <w:rFonts w:cs="Arial"/>
          <w:b/>
        </w:rPr>
      </w:pPr>
      <w:r w:rsidRPr="0011786B">
        <w:rPr>
          <w:rFonts w:cs="Arial"/>
          <w:b/>
        </w:rPr>
        <w:t xml:space="preserve">      Introduction </w:t>
      </w:r>
    </w:p>
    <w:p w14:paraId="4ABD594B" w14:textId="77777777" w:rsidR="00CA7A6C" w:rsidRPr="0011786B" w:rsidRDefault="00CA7A6C" w:rsidP="00CA7A6C">
      <w:pPr>
        <w:spacing w:after="9" w:line="259" w:lineRule="auto"/>
        <w:ind w:left="426"/>
        <w:rPr>
          <w:rFonts w:cs="Arial"/>
        </w:rPr>
      </w:pPr>
      <w:r w:rsidRPr="0011786B">
        <w:rPr>
          <w:rFonts w:cs="Arial"/>
        </w:rPr>
        <w:t xml:space="preserve"> </w:t>
      </w:r>
    </w:p>
    <w:p w14:paraId="5D177560" w14:textId="5AC10629" w:rsidR="00D447CC" w:rsidRDefault="008A5274" w:rsidP="00CA7A6C">
      <w:pPr>
        <w:spacing w:after="73" w:line="259" w:lineRule="auto"/>
        <w:ind w:left="426"/>
        <w:rPr>
          <w:rFonts w:cs="Arial"/>
        </w:rPr>
      </w:pPr>
      <w:r>
        <w:rPr>
          <w:rFonts w:cs="Arial"/>
        </w:rPr>
        <w:t>The schools endeavour to make reasonable adjustments for children with specific needs, such as those with EHC Plans or those with EAL, based on the resources and expertise available</w:t>
      </w:r>
      <w:r w:rsidR="00A13890">
        <w:rPr>
          <w:rFonts w:cs="Arial"/>
        </w:rPr>
        <w:t xml:space="preserve"> to us</w:t>
      </w:r>
      <w:r>
        <w:rPr>
          <w:rFonts w:cs="Arial"/>
        </w:rPr>
        <w:t xml:space="preserve"> as mainstream, non-specialist provisions. </w:t>
      </w:r>
      <w:r w:rsidR="00A13890">
        <w:rPr>
          <w:rFonts w:cs="Arial"/>
        </w:rPr>
        <w:t xml:space="preserve">This policy should be </w:t>
      </w:r>
      <w:r w:rsidR="00D447CC">
        <w:rPr>
          <w:rFonts w:cs="Arial"/>
        </w:rPr>
        <w:t>viewed</w:t>
      </w:r>
      <w:r w:rsidR="00A13890">
        <w:rPr>
          <w:rFonts w:cs="Arial"/>
        </w:rPr>
        <w:t xml:space="preserve"> in conjunction with our Admissions Policy, Section 4 &amp; Appendix 3</w:t>
      </w:r>
      <w:r w:rsidR="001738CB">
        <w:rPr>
          <w:rFonts w:cs="Arial"/>
        </w:rPr>
        <w:t xml:space="preserve"> and SEND Policy</w:t>
      </w:r>
      <w:r w:rsidR="00A13890">
        <w:rPr>
          <w:rFonts w:cs="Arial"/>
        </w:rPr>
        <w:t>.</w:t>
      </w:r>
      <w:r w:rsidR="00D447CC">
        <w:rPr>
          <w:rFonts w:cs="Arial"/>
        </w:rPr>
        <w:t xml:space="preserve"> </w:t>
      </w:r>
    </w:p>
    <w:p w14:paraId="67FEC9A0" w14:textId="77777777" w:rsidR="00BC54E2" w:rsidRDefault="00D447CC" w:rsidP="00CA7A6C">
      <w:pPr>
        <w:spacing w:after="73" w:line="259" w:lineRule="auto"/>
        <w:ind w:left="426"/>
        <w:rPr>
          <w:rFonts w:cs="Arial"/>
        </w:rPr>
      </w:pPr>
      <w:r>
        <w:rPr>
          <w:rFonts w:cs="Arial"/>
        </w:rPr>
        <w:t xml:space="preserve">Any children with draft EHC Plans must be </w:t>
      </w:r>
      <w:r w:rsidR="00BC54E2">
        <w:rPr>
          <w:rFonts w:cs="Arial"/>
        </w:rPr>
        <w:t>finalised</w:t>
      </w:r>
      <w:r>
        <w:rPr>
          <w:rFonts w:cs="Arial"/>
        </w:rPr>
        <w:t xml:space="preserve"> with the local authority </w:t>
      </w:r>
      <w:r w:rsidR="00BC54E2">
        <w:rPr>
          <w:rFonts w:cs="Arial"/>
        </w:rPr>
        <w:t xml:space="preserve">prior to entry. For any children with EHC Plans, </w:t>
      </w:r>
      <w:r>
        <w:rPr>
          <w:rFonts w:cs="Arial"/>
        </w:rPr>
        <w:t>a consultation must have been completed by the sch</w:t>
      </w:r>
      <w:r w:rsidR="00BC54E2">
        <w:rPr>
          <w:rFonts w:cs="Arial"/>
        </w:rPr>
        <w:t xml:space="preserve">ool and accepted by the local authority, prior to entry. </w:t>
      </w:r>
    </w:p>
    <w:p w14:paraId="3489F297" w14:textId="77777777" w:rsidR="00CA7A6C" w:rsidRPr="0011786B" w:rsidRDefault="00BC54E2" w:rsidP="00CA7A6C">
      <w:pPr>
        <w:spacing w:after="73" w:line="259" w:lineRule="auto"/>
        <w:ind w:left="426"/>
        <w:rPr>
          <w:rFonts w:cs="Arial"/>
        </w:rPr>
      </w:pPr>
      <w:r>
        <w:rPr>
          <w:rFonts w:cs="Arial"/>
        </w:rPr>
        <w:t>Failure to declare to the schools that your child has and EHC</w:t>
      </w:r>
      <w:r w:rsidR="00972E15">
        <w:rPr>
          <w:rFonts w:cs="Arial"/>
        </w:rPr>
        <w:t xml:space="preserve"> </w:t>
      </w:r>
      <w:r>
        <w:rPr>
          <w:rFonts w:cs="Arial"/>
        </w:rPr>
        <w:t>P</w:t>
      </w:r>
      <w:r w:rsidR="00972E15">
        <w:rPr>
          <w:rFonts w:cs="Arial"/>
        </w:rPr>
        <w:t>lan</w:t>
      </w:r>
      <w:r>
        <w:rPr>
          <w:rFonts w:cs="Arial"/>
        </w:rPr>
        <w:t>, is in the processes of applying for EHC</w:t>
      </w:r>
      <w:r w:rsidR="00972E15">
        <w:rPr>
          <w:rFonts w:cs="Arial"/>
        </w:rPr>
        <w:t xml:space="preserve"> </w:t>
      </w:r>
      <w:r>
        <w:rPr>
          <w:rFonts w:cs="Arial"/>
        </w:rPr>
        <w:t>P</w:t>
      </w:r>
      <w:r w:rsidR="00972E15">
        <w:rPr>
          <w:rFonts w:cs="Arial"/>
        </w:rPr>
        <w:t>lan</w:t>
      </w:r>
      <w:r>
        <w:rPr>
          <w:rFonts w:cs="Arial"/>
        </w:rPr>
        <w:t xml:space="preserve"> (or draft), or has EAL needs will result in a breach of any contractual agreement you have with us and the place within the schools is at risk. </w:t>
      </w:r>
    </w:p>
    <w:p w14:paraId="2B2C612D" w14:textId="77777777" w:rsidR="004B5AA1" w:rsidRPr="0011786B" w:rsidRDefault="004B5AA1" w:rsidP="00A13890">
      <w:pPr>
        <w:spacing w:after="73" w:line="259" w:lineRule="auto"/>
        <w:ind w:left="426"/>
        <w:rPr>
          <w:rFonts w:cs="Arial"/>
        </w:rPr>
      </w:pPr>
    </w:p>
    <w:p w14:paraId="6098B86A" w14:textId="77777777" w:rsidR="00BC54E2" w:rsidRPr="0011786B" w:rsidRDefault="00CA7A6C" w:rsidP="00BC54E2">
      <w:pPr>
        <w:pStyle w:val="ListParagraph"/>
        <w:numPr>
          <w:ilvl w:val="0"/>
          <w:numId w:val="2"/>
        </w:numPr>
        <w:spacing w:after="3" w:line="266" w:lineRule="auto"/>
        <w:ind w:right="100"/>
        <w:contextualSpacing/>
        <w:jc w:val="both"/>
        <w:rPr>
          <w:rFonts w:cs="Arial"/>
          <w:b/>
        </w:rPr>
      </w:pPr>
      <w:r w:rsidRPr="00BC54E2">
        <w:rPr>
          <w:rFonts w:cs="Arial"/>
          <w:b/>
        </w:rPr>
        <w:t xml:space="preserve">     </w:t>
      </w:r>
      <w:r w:rsidR="00BC54E2">
        <w:rPr>
          <w:rFonts w:cs="Arial"/>
          <w:b/>
        </w:rPr>
        <w:t>Students</w:t>
      </w:r>
      <w:r w:rsidR="00BC54E2" w:rsidRPr="0011786B">
        <w:rPr>
          <w:rFonts w:cs="Arial"/>
          <w:b/>
        </w:rPr>
        <w:t xml:space="preserve"> with a</w:t>
      </w:r>
      <w:r w:rsidR="00BC54E2">
        <w:rPr>
          <w:rFonts w:cs="Arial"/>
          <w:b/>
        </w:rPr>
        <w:t xml:space="preserve">n </w:t>
      </w:r>
      <w:r w:rsidR="00BC54E2" w:rsidRPr="0011786B">
        <w:rPr>
          <w:rFonts w:cs="Arial"/>
          <w:b/>
        </w:rPr>
        <w:t xml:space="preserve">EHC Plan </w:t>
      </w:r>
    </w:p>
    <w:p w14:paraId="5DE795C5" w14:textId="77777777" w:rsidR="00BC54E2" w:rsidRPr="0011786B" w:rsidRDefault="00BC54E2" w:rsidP="00BC54E2">
      <w:pPr>
        <w:spacing w:after="73" w:line="259" w:lineRule="auto"/>
        <w:ind w:left="426"/>
        <w:rPr>
          <w:rFonts w:cs="Arial"/>
        </w:rPr>
      </w:pPr>
      <w:r w:rsidRPr="0011786B">
        <w:rPr>
          <w:rFonts w:cs="Arial"/>
        </w:rPr>
        <w:t xml:space="preserve"> </w:t>
      </w:r>
    </w:p>
    <w:p w14:paraId="1869898D" w14:textId="77777777" w:rsidR="00BC54E2" w:rsidRPr="00065C23" w:rsidRDefault="00BC54E2" w:rsidP="00BC54E2">
      <w:pPr>
        <w:pStyle w:val="ListParagraph"/>
        <w:numPr>
          <w:ilvl w:val="0"/>
          <w:numId w:val="1"/>
        </w:numPr>
        <w:spacing w:after="3" w:line="266" w:lineRule="auto"/>
        <w:ind w:right="100" w:hanging="708"/>
        <w:jc w:val="both"/>
        <w:rPr>
          <w:rFonts w:cs="Arial"/>
          <w:vanish/>
        </w:rPr>
      </w:pPr>
    </w:p>
    <w:p w14:paraId="23CE97AD" w14:textId="2F68EC3C" w:rsidR="00BC54E2" w:rsidRDefault="00BC54E2" w:rsidP="00BC54E2">
      <w:pPr>
        <w:numPr>
          <w:ilvl w:val="1"/>
          <w:numId w:val="1"/>
        </w:numPr>
        <w:spacing w:after="3" w:line="266" w:lineRule="auto"/>
        <w:ind w:left="426" w:right="100" w:hanging="708"/>
        <w:jc w:val="both"/>
        <w:rPr>
          <w:rFonts w:cs="Arial"/>
        </w:rPr>
      </w:pPr>
      <w:r>
        <w:rPr>
          <w:rFonts w:cs="Arial"/>
        </w:rPr>
        <w:t>A</w:t>
      </w:r>
      <w:r w:rsidRPr="0011786B">
        <w:rPr>
          <w:rFonts w:cs="Arial"/>
        </w:rPr>
        <w:t xml:space="preserve">ny student at the school </w:t>
      </w:r>
      <w:r>
        <w:rPr>
          <w:rFonts w:cs="Arial"/>
        </w:rPr>
        <w:t xml:space="preserve">that </w:t>
      </w:r>
      <w:r w:rsidRPr="0011786B">
        <w:rPr>
          <w:rFonts w:cs="Arial"/>
        </w:rPr>
        <w:t>is in receipt of a</w:t>
      </w:r>
      <w:r>
        <w:rPr>
          <w:rFonts w:cs="Arial"/>
        </w:rPr>
        <w:t>n EHC plan will have specific provisions outlined in Section F of that plan that the school has agreed to provide. A discussion prior to entry must have taken place between the parents and the school</w:t>
      </w:r>
      <w:r w:rsidR="00026B48">
        <w:rPr>
          <w:rFonts w:cs="Arial"/>
        </w:rPr>
        <w:t>s</w:t>
      </w:r>
      <w:r>
        <w:rPr>
          <w:rFonts w:cs="Arial"/>
        </w:rPr>
        <w:t xml:space="preserve"> SENCo to outline how those provisions c</w:t>
      </w:r>
      <w:r w:rsidR="00026B48">
        <w:rPr>
          <w:rFonts w:cs="Arial"/>
        </w:rPr>
        <w:t>ould</w:t>
      </w:r>
      <w:r>
        <w:rPr>
          <w:rFonts w:cs="Arial"/>
        </w:rPr>
        <w:t xml:space="preserve"> be facilitated within school. This may include provisions provided by external professionals, coordinated by the school. Costings of provisions will be provided as part of the statutory consultation process with the Local Authority, which must have been completed prior to entry.</w:t>
      </w:r>
      <w:r w:rsidR="00026B48">
        <w:rPr>
          <w:rFonts w:cs="Arial"/>
        </w:rPr>
        <w:t xml:space="preserve"> Details of the SEN case officer linked to the plan must also be shared with the school.</w:t>
      </w:r>
    </w:p>
    <w:p w14:paraId="479D9D31" w14:textId="77777777" w:rsidR="00BC54E2" w:rsidRDefault="00BC54E2" w:rsidP="00BC54E2">
      <w:pPr>
        <w:spacing w:after="3" w:line="266" w:lineRule="auto"/>
        <w:ind w:left="426" w:right="100"/>
        <w:jc w:val="both"/>
        <w:rPr>
          <w:rFonts w:cs="Arial"/>
        </w:rPr>
      </w:pPr>
    </w:p>
    <w:p w14:paraId="59FC85E0" w14:textId="47A8DAC9" w:rsidR="00026B48" w:rsidRDefault="00026B48" w:rsidP="00026B48">
      <w:pPr>
        <w:numPr>
          <w:ilvl w:val="1"/>
          <w:numId w:val="1"/>
        </w:numPr>
        <w:spacing w:after="3" w:line="266" w:lineRule="auto"/>
        <w:ind w:left="426" w:right="100" w:hanging="708"/>
        <w:jc w:val="both"/>
        <w:rPr>
          <w:rFonts w:cs="Arial"/>
        </w:rPr>
      </w:pPr>
      <w:r>
        <w:rPr>
          <w:rFonts w:cs="Arial"/>
        </w:rPr>
        <w:t>The schools will provide regular feedback to parents of children with EHC Plans. This could be in form of parental consultations, meetings, phone calls, emails or digital records such as Firefly logs or working feedback documents.</w:t>
      </w:r>
    </w:p>
    <w:p w14:paraId="33DE26E3" w14:textId="77777777" w:rsidR="00026B48" w:rsidRPr="0011786B" w:rsidRDefault="00026B48" w:rsidP="00026B48">
      <w:pPr>
        <w:spacing w:after="3" w:line="266" w:lineRule="auto"/>
        <w:ind w:right="100"/>
        <w:jc w:val="both"/>
        <w:rPr>
          <w:rFonts w:cs="Arial"/>
        </w:rPr>
      </w:pPr>
    </w:p>
    <w:p w14:paraId="2AC69EA0" w14:textId="54FE5DFB" w:rsidR="00BC54E2" w:rsidRPr="002B711B" w:rsidRDefault="00BC54E2" w:rsidP="002B711B">
      <w:pPr>
        <w:numPr>
          <w:ilvl w:val="1"/>
          <w:numId w:val="1"/>
        </w:numPr>
        <w:spacing w:after="3" w:line="266" w:lineRule="auto"/>
        <w:ind w:left="426" w:right="100" w:hanging="708"/>
        <w:jc w:val="both"/>
        <w:rPr>
          <w:rFonts w:cs="Arial"/>
        </w:rPr>
      </w:pPr>
      <w:r w:rsidRPr="0011786B">
        <w:rPr>
          <w:rFonts w:cs="Arial"/>
        </w:rPr>
        <w:t>Th</w:t>
      </w:r>
      <w:r>
        <w:rPr>
          <w:rFonts w:cs="Arial"/>
        </w:rPr>
        <w:t>e school</w:t>
      </w:r>
      <w:r w:rsidR="002B711B">
        <w:rPr>
          <w:rFonts w:cs="Arial"/>
        </w:rPr>
        <w:t>s</w:t>
      </w:r>
      <w:r>
        <w:rPr>
          <w:rFonts w:cs="Arial"/>
        </w:rPr>
        <w:t xml:space="preserve"> will perform</w:t>
      </w:r>
      <w:r w:rsidRPr="0011786B">
        <w:rPr>
          <w:rFonts w:cs="Arial"/>
        </w:rPr>
        <w:t xml:space="preserve"> a formal annual review of </w:t>
      </w:r>
      <w:r>
        <w:rPr>
          <w:rFonts w:cs="Arial"/>
        </w:rPr>
        <w:t xml:space="preserve">the EHC Plan to provide feedback on any progress towards outlined targets and also make any recommendations for future targets or changes in provision. </w:t>
      </w:r>
      <w:r w:rsidR="002B711B">
        <w:rPr>
          <w:rFonts w:cs="Arial"/>
        </w:rPr>
        <w:t xml:space="preserve">There may be cases where a child with an EHC Plan is able to access education without the need for significant additional support and/or has reached the agreed goals outlined with Section E &amp; Section F. In these cases, the school may recommend a reduction in provision or ending of the EHC Plan through the annual review. </w:t>
      </w:r>
      <w:r w:rsidRPr="002B711B">
        <w:rPr>
          <w:rFonts w:cs="Arial"/>
        </w:rPr>
        <w:t xml:space="preserve">Specific EHC Plan outcomes are shared with staff through the use of a Student Passport which provides our staff with relevant background information. </w:t>
      </w:r>
    </w:p>
    <w:p w14:paraId="0460A540" w14:textId="77777777" w:rsidR="00BC54E2" w:rsidRDefault="00BC54E2" w:rsidP="00BC54E2">
      <w:pPr>
        <w:pStyle w:val="ListParagraph"/>
        <w:rPr>
          <w:rFonts w:cs="Arial"/>
        </w:rPr>
      </w:pPr>
    </w:p>
    <w:p w14:paraId="0AB0368F" w14:textId="2E807E56" w:rsidR="00BC54E2" w:rsidRDefault="00BC54E2" w:rsidP="00BC54E2">
      <w:pPr>
        <w:numPr>
          <w:ilvl w:val="1"/>
          <w:numId w:val="1"/>
        </w:numPr>
        <w:spacing w:after="3" w:line="266" w:lineRule="auto"/>
        <w:ind w:left="426" w:right="100" w:hanging="708"/>
        <w:jc w:val="both"/>
        <w:rPr>
          <w:rFonts w:cs="Arial"/>
        </w:rPr>
      </w:pPr>
      <w:r>
        <w:rPr>
          <w:rFonts w:cs="Arial"/>
        </w:rPr>
        <w:lastRenderedPageBreak/>
        <w:t>W</w:t>
      </w:r>
      <w:r w:rsidRPr="004558F3">
        <w:rPr>
          <w:rFonts w:cs="Arial"/>
        </w:rPr>
        <w:t>e reserve the right to recommend to parent</w:t>
      </w:r>
      <w:r>
        <w:rPr>
          <w:rFonts w:cs="Arial"/>
        </w:rPr>
        <w:t>(</w:t>
      </w:r>
      <w:r w:rsidRPr="004558F3">
        <w:rPr>
          <w:rFonts w:cs="Arial"/>
        </w:rPr>
        <w:t>s</w:t>
      </w:r>
      <w:r>
        <w:rPr>
          <w:rFonts w:cs="Arial"/>
        </w:rPr>
        <w:t>) / carer(s)</w:t>
      </w:r>
      <w:r w:rsidRPr="004558F3">
        <w:rPr>
          <w:rFonts w:cs="Arial"/>
        </w:rPr>
        <w:t xml:space="preserve"> </w:t>
      </w:r>
      <w:r>
        <w:rPr>
          <w:rFonts w:cs="Arial"/>
        </w:rPr>
        <w:t xml:space="preserve">to seek an </w:t>
      </w:r>
      <w:r w:rsidRPr="004558F3">
        <w:rPr>
          <w:rFonts w:cs="Arial"/>
        </w:rPr>
        <w:t xml:space="preserve">alternative school </w:t>
      </w:r>
      <w:r>
        <w:rPr>
          <w:rFonts w:cs="Arial"/>
        </w:rPr>
        <w:t xml:space="preserve">placement </w:t>
      </w:r>
      <w:r w:rsidRPr="004558F3">
        <w:rPr>
          <w:rFonts w:cs="Arial"/>
        </w:rPr>
        <w:t xml:space="preserve">if we feel that the school can no longer provide the </w:t>
      </w:r>
      <w:r>
        <w:rPr>
          <w:rFonts w:cs="Arial"/>
        </w:rPr>
        <w:t>provision outlined in Section F of the plan, or the child’s needs have changed</w:t>
      </w:r>
      <w:r w:rsidRPr="004558F3">
        <w:rPr>
          <w:rFonts w:cs="Arial"/>
        </w:rPr>
        <w:t xml:space="preserve">. </w:t>
      </w:r>
      <w:r w:rsidR="00ED2A2A">
        <w:rPr>
          <w:rFonts w:cs="Arial"/>
        </w:rPr>
        <w:t>In some cases it may be necessary to call an early, emergency annual review whereby notice is given to the local authority, triggering a 14 day consultation process place to identify new educational provision to be found. During this time provision on school site may not be available and the school will notify the local authority of its decision to no longer have the child on roll following the consultation period.</w:t>
      </w:r>
    </w:p>
    <w:p w14:paraId="4904183E" w14:textId="77777777" w:rsidR="004B5AA1" w:rsidRPr="002B711B" w:rsidRDefault="004B5AA1" w:rsidP="002B711B">
      <w:pPr>
        <w:rPr>
          <w:rFonts w:cs="Arial"/>
        </w:rPr>
      </w:pPr>
    </w:p>
    <w:p w14:paraId="3D22DB17" w14:textId="77777777" w:rsidR="004B5AA1" w:rsidRDefault="004B5AA1" w:rsidP="004B5AA1">
      <w:pPr>
        <w:numPr>
          <w:ilvl w:val="1"/>
          <w:numId w:val="1"/>
        </w:numPr>
        <w:spacing w:after="3" w:line="266" w:lineRule="auto"/>
        <w:ind w:left="426" w:right="100" w:hanging="708"/>
        <w:jc w:val="both"/>
        <w:rPr>
          <w:rFonts w:cs="Arial"/>
        </w:rPr>
      </w:pPr>
      <w:r>
        <w:rPr>
          <w:rFonts w:cs="Arial"/>
        </w:rPr>
        <w:t>The schools must report annually on the number of children with EHC Plans.</w:t>
      </w:r>
    </w:p>
    <w:p w14:paraId="7D3BCFA7" w14:textId="77777777" w:rsidR="004B5AA1" w:rsidRPr="004B5AA1" w:rsidRDefault="00BC54E2" w:rsidP="004B5AA1">
      <w:pPr>
        <w:spacing w:after="3" w:line="266" w:lineRule="auto"/>
        <w:ind w:right="100"/>
        <w:jc w:val="both"/>
        <w:rPr>
          <w:rFonts w:cs="Arial"/>
        </w:rPr>
      </w:pPr>
      <w:r w:rsidRPr="004B5AA1">
        <w:rPr>
          <w:rFonts w:cs="Arial"/>
        </w:rPr>
        <w:t xml:space="preserve">  </w:t>
      </w:r>
    </w:p>
    <w:p w14:paraId="7A9A32C0" w14:textId="77777777" w:rsidR="00CA7A6C" w:rsidRPr="00BC54E2" w:rsidRDefault="00BC54E2" w:rsidP="00BC54E2">
      <w:pPr>
        <w:pStyle w:val="ListParagraph"/>
        <w:numPr>
          <w:ilvl w:val="0"/>
          <w:numId w:val="2"/>
        </w:numPr>
        <w:spacing w:after="3" w:line="266" w:lineRule="auto"/>
        <w:ind w:right="100"/>
        <w:contextualSpacing/>
        <w:jc w:val="both"/>
        <w:rPr>
          <w:rFonts w:cs="Arial"/>
          <w:b/>
        </w:rPr>
      </w:pPr>
      <w:r>
        <w:rPr>
          <w:rFonts w:cs="Arial"/>
          <w:b/>
        </w:rPr>
        <w:t xml:space="preserve">     </w:t>
      </w:r>
      <w:r w:rsidR="00D447CC" w:rsidRPr="00BC54E2">
        <w:rPr>
          <w:rFonts w:cs="Arial"/>
          <w:b/>
        </w:rPr>
        <w:t>New EHC</w:t>
      </w:r>
      <w:r w:rsidR="00972E15">
        <w:rPr>
          <w:rFonts w:cs="Arial"/>
          <w:b/>
        </w:rPr>
        <w:t xml:space="preserve"> </w:t>
      </w:r>
      <w:r w:rsidR="00D447CC" w:rsidRPr="00BC54E2">
        <w:rPr>
          <w:rFonts w:cs="Arial"/>
          <w:b/>
        </w:rPr>
        <w:t>P</w:t>
      </w:r>
      <w:r w:rsidR="00972E15">
        <w:rPr>
          <w:rFonts w:cs="Arial"/>
          <w:b/>
        </w:rPr>
        <w:t>lan</w:t>
      </w:r>
      <w:r w:rsidR="00D447CC" w:rsidRPr="00BC54E2">
        <w:rPr>
          <w:rFonts w:cs="Arial"/>
          <w:b/>
        </w:rPr>
        <w:t xml:space="preserve"> applications</w:t>
      </w:r>
      <w:r w:rsidR="00CA7A6C" w:rsidRPr="00BC54E2">
        <w:rPr>
          <w:rFonts w:cs="Arial"/>
          <w:b/>
        </w:rPr>
        <w:t xml:space="preserve"> </w:t>
      </w:r>
    </w:p>
    <w:p w14:paraId="0899DDF9" w14:textId="77777777" w:rsidR="00CA7A6C" w:rsidRPr="0011786B" w:rsidRDefault="00CA7A6C" w:rsidP="00CA7A6C">
      <w:pPr>
        <w:spacing w:after="73" w:line="259" w:lineRule="auto"/>
        <w:ind w:left="426"/>
        <w:rPr>
          <w:rFonts w:cs="Arial"/>
        </w:rPr>
      </w:pPr>
      <w:r w:rsidRPr="0011786B">
        <w:rPr>
          <w:rFonts w:cs="Arial"/>
        </w:rPr>
        <w:t xml:space="preserve"> </w:t>
      </w:r>
    </w:p>
    <w:p w14:paraId="11E5546E" w14:textId="77777777" w:rsidR="00CA7A6C" w:rsidRPr="00065C23" w:rsidRDefault="00CA7A6C" w:rsidP="00CA7A6C">
      <w:pPr>
        <w:pStyle w:val="ListParagraph"/>
        <w:numPr>
          <w:ilvl w:val="0"/>
          <w:numId w:val="1"/>
        </w:numPr>
        <w:spacing w:after="3" w:line="266" w:lineRule="auto"/>
        <w:ind w:right="100" w:hanging="708"/>
        <w:jc w:val="both"/>
        <w:rPr>
          <w:rFonts w:cs="Arial"/>
          <w:vanish/>
        </w:rPr>
      </w:pPr>
    </w:p>
    <w:p w14:paraId="25E4B191" w14:textId="77777777" w:rsidR="004558F3" w:rsidRDefault="00CA7A6C" w:rsidP="00CA7A6C">
      <w:pPr>
        <w:numPr>
          <w:ilvl w:val="1"/>
          <w:numId w:val="1"/>
        </w:numPr>
        <w:spacing w:after="3" w:line="266" w:lineRule="auto"/>
        <w:ind w:left="426" w:right="100" w:hanging="708"/>
        <w:jc w:val="both"/>
        <w:rPr>
          <w:rFonts w:cs="Arial"/>
        </w:rPr>
      </w:pPr>
      <w:r w:rsidRPr="0011786B">
        <w:rPr>
          <w:rFonts w:cs="Arial"/>
        </w:rPr>
        <w:t xml:space="preserve">If a </w:t>
      </w:r>
      <w:r w:rsidR="00ED2A2A">
        <w:rPr>
          <w:rFonts w:cs="Arial"/>
        </w:rPr>
        <w:t xml:space="preserve">current </w:t>
      </w:r>
      <w:r w:rsidRPr="0011786B">
        <w:rPr>
          <w:rFonts w:cs="Arial"/>
        </w:rPr>
        <w:t xml:space="preserve">student </w:t>
      </w:r>
      <w:r w:rsidR="004558F3">
        <w:rPr>
          <w:rFonts w:cs="Arial"/>
        </w:rPr>
        <w:t xml:space="preserve">is presenting with needs that </w:t>
      </w:r>
      <w:r w:rsidR="00ED2A2A">
        <w:rPr>
          <w:rFonts w:cs="Arial"/>
        </w:rPr>
        <w:t>can’t be met through our normal provision</w:t>
      </w:r>
      <w:r w:rsidR="004558F3">
        <w:rPr>
          <w:rFonts w:cs="Arial"/>
        </w:rPr>
        <w:t xml:space="preserve">, we may encourage parents to apply for an </w:t>
      </w:r>
      <w:r w:rsidR="00972E15">
        <w:rPr>
          <w:rFonts w:cs="Arial"/>
        </w:rPr>
        <w:t>EHC</w:t>
      </w:r>
      <w:r w:rsidR="004558F3">
        <w:rPr>
          <w:rFonts w:cs="Arial"/>
        </w:rPr>
        <w:t xml:space="preserve"> Plan through the relevant local authority</w:t>
      </w:r>
      <w:r w:rsidR="00ED2A2A">
        <w:rPr>
          <w:rFonts w:cs="Arial"/>
        </w:rPr>
        <w:t>. This could provide</w:t>
      </w:r>
      <w:r w:rsidR="004558F3">
        <w:rPr>
          <w:rFonts w:cs="Arial"/>
        </w:rPr>
        <w:t xml:space="preserve"> access additional funding through Section F of a plan, which would outline and provide the resources needed to support the stud</w:t>
      </w:r>
      <w:r w:rsidR="00ED2A2A">
        <w:rPr>
          <w:rFonts w:cs="Arial"/>
        </w:rPr>
        <w:t>ent. Once an application is made by parents</w:t>
      </w:r>
      <w:r w:rsidR="004558F3">
        <w:rPr>
          <w:rFonts w:cs="Arial"/>
        </w:rPr>
        <w:t>, the school can provide supporting evidence.</w:t>
      </w:r>
    </w:p>
    <w:p w14:paraId="517CC497" w14:textId="77777777" w:rsidR="00A13890" w:rsidRDefault="00A13890" w:rsidP="00A13890">
      <w:pPr>
        <w:spacing w:after="3" w:line="266" w:lineRule="auto"/>
        <w:ind w:left="426" w:right="100"/>
        <w:jc w:val="both"/>
        <w:rPr>
          <w:rFonts w:cs="Arial"/>
        </w:rPr>
      </w:pPr>
    </w:p>
    <w:p w14:paraId="3A8EC88C" w14:textId="34CD5361" w:rsidR="004558F3" w:rsidRDefault="004558F3" w:rsidP="006842E9">
      <w:pPr>
        <w:numPr>
          <w:ilvl w:val="1"/>
          <w:numId w:val="1"/>
        </w:numPr>
        <w:spacing w:after="3" w:line="266" w:lineRule="auto"/>
        <w:ind w:left="426" w:right="100" w:hanging="708"/>
        <w:jc w:val="both"/>
        <w:rPr>
          <w:rFonts w:cs="Arial"/>
        </w:rPr>
      </w:pPr>
      <w:r w:rsidRPr="004558F3">
        <w:rPr>
          <w:rFonts w:cs="Arial"/>
        </w:rPr>
        <w:t>Not all applicatio</w:t>
      </w:r>
      <w:r w:rsidR="00A13890">
        <w:rPr>
          <w:rFonts w:cs="Arial"/>
        </w:rPr>
        <w:t>ns for EHC Plans are successful.</w:t>
      </w:r>
      <w:r w:rsidRPr="004558F3">
        <w:rPr>
          <w:rFonts w:cs="Arial"/>
        </w:rPr>
        <w:t xml:space="preserve"> </w:t>
      </w:r>
      <w:r w:rsidR="00A13890">
        <w:rPr>
          <w:rFonts w:cs="Arial"/>
        </w:rPr>
        <w:t>I</w:t>
      </w:r>
      <w:r w:rsidRPr="004558F3">
        <w:rPr>
          <w:rFonts w:cs="Arial"/>
        </w:rPr>
        <w:t xml:space="preserve">t </w:t>
      </w:r>
      <w:r w:rsidR="00A13890">
        <w:rPr>
          <w:rFonts w:cs="Arial"/>
        </w:rPr>
        <w:t>may be the</w:t>
      </w:r>
      <w:r w:rsidRPr="004558F3">
        <w:rPr>
          <w:rFonts w:cs="Arial"/>
        </w:rPr>
        <w:t xml:space="preserve"> case </w:t>
      </w:r>
      <w:r w:rsidR="00A13890">
        <w:rPr>
          <w:rFonts w:cs="Arial"/>
        </w:rPr>
        <w:t xml:space="preserve">that </w:t>
      </w:r>
      <w:r w:rsidRPr="004558F3">
        <w:rPr>
          <w:rFonts w:cs="Arial"/>
        </w:rPr>
        <w:t xml:space="preserve">interim or </w:t>
      </w:r>
      <w:proofErr w:type="gramStart"/>
      <w:r w:rsidRPr="004558F3">
        <w:rPr>
          <w:rFonts w:cs="Arial"/>
        </w:rPr>
        <w:t>longer term</w:t>
      </w:r>
      <w:proofErr w:type="gramEnd"/>
      <w:r w:rsidRPr="004558F3">
        <w:rPr>
          <w:rFonts w:cs="Arial"/>
        </w:rPr>
        <w:t xml:space="preserve"> support may be funded by privately by parents should it be mutually agreed by both the school and parents</w:t>
      </w:r>
      <w:r w:rsidR="002B711B">
        <w:rPr>
          <w:rFonts w:cs="Arial"/>
        </w:rPr>
        <w:t>,</w:t>
      </w:r>
      <w:r w:rsidR="00ED2A2A">
        <w:rPr>
          <w:rFonts w:cs="Arial"/>
        </w:rPr>
        <w:t xml:space="preserve"> or </w:t>
      </w:r>
      <w:r w:rsidR="002B711B">
        <w:rPr>
          <w:rFonts w:cs="Arial"/>
        </w:rPr>
        <w:t xml:space="preserve">if </w:t>
      </w:r>
      <w:r w:rsidR="00ED2A2A">
        <w:rPr>
          <w:rFonts w:cs="Arial"/>
        </w:rPr>
        <w:t>the application is unsuccessful</w:t>
      </w:r>
      <w:r w:rsidRPr="004558F3">
        <w:rPr>
          <w:rFonts w:cs="Arial"/>
        </w:rPr>
        <w:t>.</w:t>
      </w:r>
      <w:r>
        <w:rPr>
          <w:rFonts w:cs="Arial"/>
        </w:rPr>
        <w:t xml:space="preserve"> </w:t>
      </w:r>
      <w:r w:rsidRPr="004558F3">
        <w:rPr>
          <w:rFonts w:cs="Arial"/>
        </w:rPr>
        <w:t xml:space="preserve">In some cases it is not always feasible to provide the necessary support within the school, </w:t>
      </w:r>
      <w:r>
        <w:rPr>
          <w:rFonts w:cs="Arial"/>
        </w:rPr>
        <w:t xml:space="preserve">based on </w:t>
      </w:r>
      <w:r w:rsidR="00CA7A6C" w:rsidRPr="004558F3">
        <w:rPr>
          <w:rFonts w:cs="Arial"/>
        </w:rPr>
        <w:t>the nature and extent of the special need</w:t>
      </w:r>
      <w:r w:rsidR="00307B04" w:rsidRPr="004558F3">
        <w:rPr>
          <w:rFonts w:cs="Arial"/>
        </w:rPr>
        <w:t xml:space="preserve"> or disability</w:t>
      </w:r>
      <w:r>
        <w:rPr>
          <w:rFonts w:cs="Arial"/>
        </w:rPr>
        <w:t>.</w:t>
      </w:r>
    </w:p>
    <w:p w14:paraId="12B067B9" w14:textId="77777777" w:rsidR="00A13890" w:rsidRDefault="00A13890" w:rsidP="00A13890">
      <w:pPr>
        <w:spacing w:after="3" w:line="266" w:lineRule="auto"/>
        <w:ind w:right="100"/>
        <w:jc w:val="both"/>
        <w:rPr>
          <w:rFonts w:cs="Arial"/>
        </w:rPr>
      </w:pPr>
    </w:p>
    <w:p w14:paraId="1487D4EA" w14:textId="77777777" w:rsidR="00CA7A6C" w:rsidRPr="004558F3" w:rsidRDefault="004558F3" w:rsidP="006842E9">
      <w:pPr>
        <w:numPr>
          <w:ilvl w:val="1"/>
          <w:numId w:val="1"/>
        </w:numPr>
        <w:spacing w:after="3" w:line="266" w:lineRule="auto"/>
        <w:ind w:left="426" w:right="100" w:hanging="708"/>
        <w:jc w:val="both"/>
        <w:rPr>
          <w:rFonts w:cs="Arial"/>
        </w:rPr>
      </w:pPr>
      <w:r>
        <w:rPr>
          <w:rFonts w:cs="Arial"/>
        </w:rPr>
        <w:t>W</w:t>
      </w:r>
      <w:r w:rsidR="00CA7A6C" w:rsidRPr="004558F3">
        <w:rPr>
          <w:rFonts w:cs="Arial"/>
        </w:rPr>
        <w:t xml:space="preserve">e reserve the right to recommend to parents </w:t>
      </w:r>
      <w:r>
        <w:rPr>
          <w:rFonts w:cs="Arial"/>
        </w:rPr>
        <w:t xml:space="preserve">to seek an </w:t>
      </w:r>
      <w:r w:rsidR="00307B04" w:rsidRPr="004558F3">
        <w:rPr>
          <w:rFonts w:cs="Arial"/>
        </w:rPr>
        <w:t xml:space="preserve">alternative school </w:t>
      </w:r>
      <w:r>
        <w:rPr>
          <w:rFonts w:cs="Arial"/>
        </w:rPr>
        <w:t xml:space="preserve">placement </w:t>
      </w:r>
      <w:r w:rsidR="00307B04" w:rsidRPr="004558F3">
        <w:rPr>
          <w:rFonts w:cs="Arial"/>
        </w:rPr>
        <w:t xml:space="preserve">if we </w:t>
      </w:r>
      <w:r w:rsidR="00CA7A6C" w:rsidRPr="004558F3">
        <w:rPr>
          <w:rFonts w:cs="Arial"/>
        </w:rPr>
        <w:t>feel that the school can no longer provide the right environment to meet their child’s needs</w:t>
      </w:r>
      <w:r w:rsidR="00ED2A2A">
        <w:rPr>
          <w:rFonts w:cs="Arial"/>
        </w:rPr>
        <w:t>, or</w:t>
      </w:r>
      <w:r w:rsidR="00A13890">
        <w:rPr>
          <w:rFonts w:cs="Arial"/>
        </w:rPr>
        <w:t xml:space="preserve"> </w:t>
      </w:r>
      <w:r w:rsidR="00ED2A2A">
        <w:rPr>
          <w:rFonts w:cs="Arial"/>
        </w:rPr>
        <w:t xml:space="preserve">a </w:t>
      </w:r>
      <w:r w:rsidR="00A13890">
        <w:rPr>
          <w:rFonts w:cs="Arial"/>
        </w:rPr>
        <w:t>child</w:t>
      </w:r>
      <w:r w:rsidR="00ED2A2A">
        <w:rPr>
          <w:rFonts w:cs="Arial"/>
        </w:rPr>
        <w:t xml:space="preserve"> has a</w:t>
      </w:r>
      <w:r w:rsidR="00A13890">
        <w:rPr>
          <w:rFonts w:cs="Arial"/>
        </w:rPr>
        <w:t xml:space="preserve"> newly agreed EHC Plan</w:t>
      </w:r>
      <w:r w:rsidR="00ED2A2A">
        <w:rPr>
          <w:rFonts w:cs="Arial"/>
        </w:rPr>
        <w:t xml:space="preserve"> which outlines provision in Section F that we are unable to </w:t>
      </w:r>
      <w:r w:rsidR="00A13890">
        <w:rPr>
          <w:rFonts w:cs="Arial"/>
        </w:rPr>
        <w:t>provide</w:t>
      </w:r>
      <w:r w:rsidR="00CA7A6C" w:rsidRPr="004558F3">
        <w:rPr>
          <w:rFonts w:cs="Arial"/>
        </w:rPr>
        <w:t xml:space="preserve">.   </w:t>
      </w:r>
    </w:p>
    <w:p w14:paraId="39FFCB08" w14:textId="77777777" w:rsidR="00CA7A6C" w:rsidRPr="0011786B" w:rsidRDefault="00CA7A6C" w:rsidP="00CA7A6C">
      <w:pPr>
        <w:spacing w:line="259" w:lineRule="auto"/>
        <w:ind w:left="426"/>
        <w:rPr>
          <w:rFonts w:cs="Arial"/>
          <w:b/>
        </w:rPr>
      </w:pPr>
    </w:p>
    <w:p w14:paraId="251CCA53" w14:textId="77777777" w:rsidR="00CA7A6C" w:rsidRPr="0011786B" w:rsidRDefault="00CA7A6C" w:rsidP="00BC54E2">
      <w:pPr>
        <w:pStyle w:val="ListParagraph"/>
        <w:numPr>
          <w:ilvl w:val="0"/>
          <w:numId w:val="2"/>
        </w:numPr>
        <w:spacing w:after="3" w:line="266" w:lineRule="auto"/>
        <w:ind w:right="100"/>
        <w:contextualSpacing/>
        <w:jc w:val="both"/>
        <w:rPr>
          <w:rFonts w:cs="Arial"/>
          <w:b/>
        </w:rPr>
      </w:pPr>
      <w:r>
        <w:rPr>
          <w:rFonts w:cs="Arial"/>
          <w:b/>
        </w:rPr>
        <w:t xml:space="preserve">      </w:t>
      </w:r>
      <w:r w:rsidRPr="0011786B">
        <w:rPr>
          <w:rFonts w:cs="Arial"/>
          <w:b/>
        </w:rPr>
        <w:t xml:space="preserve">English as an Additional Language (EAL) </w:t>
      </w:r>
    </w:p>
    <w:p w14:paraId="5C8A9284" w14:textId="77777777" w:rsidR="00CA7A6C" w:rsidRPr="0011786B" w:rsidRDefault="00CA7A6C" w:rsidP="00CA7A6C">
      <w:pPr>
        <w:spacing w:after="9" w:line="259" w:lineRule="auto"/>
        <w:ind w:left="426"/>
        <w:rPr>
          <w:rFonts w:cs="Arial"/>
        </w:rPr>
      </w:pPr>
      <w:r w:rsidRPr="0011786B">
        <w:rPr>
          <w:rFonts w:cs="Arial"/>
        </w:rPr>
        <w:t xml:space="preserve"> </w:t>
      </w:r>
    </w:p>
    <w:p w14:paraId="4B23ACEA" w14:textId="77777777" w:rsidR="00CA7A6C" w:rsidRPr="00065C23" w:rsidRDefault="00CA7A6C" w:rsidP="00CA7A6C">
      <w:pPr>
        <w:pStyle w:val="ListParagraph"/>
        <w:numPr>
          <w:ilvl w:val="0"/>
          <w:numId w:val="1"/>
        </w:numPr>
        <w:spacing w:after="3" w:line="266" w:lineRule="auto"/>
        <w:ind w:right="100"/>
        <w:jc w:val="both"/>
        <w:rPr>
          <w:rFonts w:cs="Arial"/>
          <w:vanish/>
        </w:rPr>
      </w:pPr>
    </w:p>
    <w:p w14:paraId="32AD7A7B" w14:textId="77777777" w:rsidR="00CA7A6C" w:rsidRPr="0011786B" w:rsidRDefault="00CA7A6C" w:rsidP="003973CF">
      <w:pPr>
        <w:numPr>
          <w:ilvl w:val="1"/>
          <w:numId w:val="1"/>
        </w:numPr>
        <w:spacing w:after="3" w:line="266" w:lineRule="auto"/>
        <w:ind w:left="436" w:right="102" w:hanging="720"/>
        <w:jc w:val="both"/>
        <w:rPr>
          <w:rFonts w:cs="Arial"/>
        </w:rPr>
      </w:pPr>
      <w:r w:rsidRPr="0011786B">
        <w:rPr>
          <w:rFonts w:cs="Arial"/>
        </w:rPr>
        <w:t>In order to access the curriculum and integrate socially, it is helpful that students be fairly fluent English speakers.  We advise parents of children whose first language at home is not English, that it is beneficial for the child to receive individual tuition in English as an additional language (EAL) before they start at the school</w:t>
      </w:r>
      <w:r w:rsidR="004B5AA1">
        <w:rPr>
          <w:rFonts w:cs="Arial"/>
        </w:rPr>
        <w:t xml:space="preserve"> if their proficiency within English doesn’t allow them to fully access education. We would recommend t</w:t>
      </w:r>
      <w:r w:rsidRPr="0011786B">
        <w:rPr>
          <w:rFonts w:cs="Arial"/>
        </w:rPr>
        <w:t xml:space="preserve">hat this </w:t>
      </w:r>
      <w:r w:rsidR="004B5AA1">
        <w:rPr>
          <w:rFonts w:cs="Arial"/>
        </w:rPr>
        <w:t xml:space="preserve">support </w:t>
      </w:r>
      <w:r w:rsidRPr="0011786B">
        <w:rPr>
          <w:rFonts w:cs="Arial"/>
        </w:rPr>
        <w:t xml:space="preserve">continues until their speech and comprehension reaches a level that allows them to access the curriculum independently. </w:t>
      </w:r>
    </w:p>
    <w:p w14:paraId="4440829F" w14:textId="77777777" w:rsidR="00CA7A6C" w:rsidRPr="0011786B" w:rsidRDefault="00CA7A6C" w:rsidP="00CA7A6C">
      <w:pPr>
        <w:spacing w:after="7" w:line="259" w:lineRule="auto"/>
        <w:ind w:left="426"/>
        <w:rPr>
          <w:rFonts w:cs="Arial"/>
        </w:rPr>
      </w:pPr>
      <w:r w:rsidRPr="0011786B">
        <w:rPr>
          <w:rFonts w:cs="Arial"/>
        </w:rPr>
        <w:t xml:space="preserve"> </w:t>
      </w:r>
    </w:p>
    <w:p w14:paraId="79DFE19A" w14:textId="29D62D53" w:rsidR="003973CF" w:rsidRPr="00A6457F" w:rsidRDefault="00CA7A6C" w:rsidP="003973CF">
      <w:pPr>
        <w:numPr>
          <w:ilvl w:val="1"/>
          <w:numId w:val="1"/>
        </w:numPr>
        <w:spacing w:after="18" w:line="259" w:lineRule="auto"/>
        <w:ind w:left="436" w:right="102" w:hanging="720"/>
      </w:pPr>
      <w:r w:rsidRPr="006D5B0E">
        <w:rPr>
          <w:rFonts w:cs="Arial"/>
        </w:rPr>
        <w:t>Students for whom English</w:t>
      </w:r>
      <w:r w:rsidR="00947041">
        <w:rPr>
          <w:rFonts w:cs="Arial"/>
        </w:rPr>
        <w:t xml:space="preserve"> is not their first language will be</w:t>
      </w:r>
      <w:r w:rsidRPr="006D5B0E">
        <w:rPr>
          <w:rFonts w:cs="Arial"/>
        </w:rPr>
        <w:t xml:space="preserve"> monitored by </w:t>
      </w:r>
      <w:r w:rsidR="008A5274">
        <w:rPr>
          <w:rFonts w:cs="Arial"/>
        </w:rPr>
        <w:t xml:space="preserve">teachers to establish the impact of any language barriers on the child’s learning and progress. </w:t>
      </w:r>
      <w:r w:rsidR="008A5274" w:rsidRPr="00A6457F">
        <w:rPr>
          <w:rFonts w:cs="Arial"/>
        </w:rPr>
        <w:t>In addition to external suppor</w:t>
      </w:r>
      <w:r w:rsidR="003973CF" w:rsidRPr="00A6457F">
        <w:rPr>
          <w:rFonts w:cs="Arial"/>
        </w:rPr>
        <w:t>t</w:t>
      </w:r>
      <w:r w:rsidR="008A5274" w:rsidRPr="00A6457F">
        <w:rPr>
          <w:rFonts w:cs="Arial"/>
        </w:rPr>
        <w:t xml:space="preserve"> for EAL, we may also recommend</w:t>
      </w:r>
      <w:r w:rsidR="00C54A2E" w:rsidRPr="00A6457F">
        <w:rPr>
          <w:rFonts w:cs="Arial"/>
        </w:rPr>
        <w:t xml:space="preserve"> an </w:t>
      </w:r>
      <w:r w:rsidR="008A5274" w:rsidRPr="00A6457F">
        <w:rPr>
          <w:rFonts w:cs="Arial"/>
        </w:rPr>
        <w:t xml:space="preserve">additional specific support </w:t>
      </w:r>
      <w:r w:rsidR="00C54A2E" w:rsidRPr="00A6457F">
        <w:rPr>
          <w:rFonts w:cs="Arial"/>
        </w:rPr>
        <w:t xml:space="preserve">program </w:t>
      </w:r>
      <w:r w:rsidR="008A5274" w:rsidRPr="00A6457F">
        <w:rPr>
          <w:rFonts w:cs="Arial"/>
        </w:rPr>
        <w:t>in school</w:t>
      </w:r>
      <w:r w:rsidR="00B15202" w:rsidRPr="00A6457F">
        <w:rPr>
          <w:rFonts w:cs="Arial"/>
        </w:rPr>
        <w:t xml:space="preserve"> as part of our EAL Hub,</w:t>
      </w:r>
      <w:r w:rsidR="008A5274" w:rsidRPr="00A6457F">
        <w:rPr>
          <w:rFonts w:cs="Arial"/>
        </w:rPr>
        <w:t xml:space="preserve"> until a child reaches a level of competency which enables independent access to the curriculum.</w:t>
      </w:r>
      <w:r w:rsidR="003973CF" w:rsidRPr="00A6457F">
        <w:rPr>
          <w:rFonts w:cs="Arial"/>
        </w:rPr>
        <w:t xml:space="preserve"> </w:t>
      </w:r>
      <w:r w:rsidR="004B5AA1" w:rsidRPr="00A6457F">
        <w:rPr>
          <w:rFonts w:cs="Arial"/>
        </w:rPr>
        <w:t xml:space="preserve">There </w:t>
      </w:r>
      <w:r w:rsidR="00B15202" w:rsidRPr="00A6457F">
        <w:rPr>
          <w:rFonts w:cs="Arial"/>
        </w:rPr>
        <w:t>will</w:t>
      </w:r>
      <w:r w:rsidR="004B5AA1" w:rsidRPr="00A6457F">
        <w:rPr>
          <w:rFonts w:cs="Arial"/>
        </w:rPr>
        <w:t xml:space="preserve"> be an additional cost associated with this</w:t>
      </w:r>
      <w:r w:rsidR="00B15202" w:rsidRPr="00A6457F">
        <w:rPr>
          <w:rFonts w:cs="Arial"/>
        </w:rPr>
        <w:t xml:space="preserve"> which would be discussed prior to starting this </w:t>
      </w:r>
      <w:r w:rsidR="00B15202" w:rsidRPr="00A6457F">
        <w:rPr>
          <w:rFonts w:cs="Arial"/>
        </w:rPr>
        <w:lastRenderedPageBreak/>
        <w:t>program</w:t>
      </w:r>
      <w:r w:rsidR="004B5AA1" w:rsidRPr="00A6457F">
        <w:rPr>
          <w:rFonts w:cs="Arial"/>
        </w:rPr>
        <w:t>.</w:t>
      </w:r>
      <w:r w:rsidR="002B711B" w:rsidRPr="00A6457F">
        <w:rPr>
          <w:rFonts w:cs="Arial"/>
        </w:rPr>
        <w:t xml:space="preserve"> For prospective students with EAL, this additional support in school may be part of the placement offer.</w:t>
      </w:r>
    </w:p>
    <w:p w14:paraId="1CDEDAF7" w14:textId="77777777" w:rsidR="003973CF" w:rsidRPr="00340205" w:rsidRDefault="003973CF" w:rsidP="00242F53">
      <w:pPr>
        <w:pStyle w:val="ListParagraph"/>
        <w:jc w:val="center"/>
        <w:rPr>
          <w:rFonts w:cs="Arial"/>
          <w:color w:val="ED7D31" w:themeColor="accent2"/>
        </w:rPr>
      </w:pPr>
    </w:p>
    <w:p w14:paraId="2C82FFB0" w14:textId="77777777" w:rsidR="00CA7A6C" w:rsidRPr="008A5274" w:rsidRDefault="003973CF" w:rsidP="003973CF">
      <w:pPr>
        <w:numPr>
          <w:ilvl w:val="1"/>
          <w:numId w:val="1"/>
        </w:numPr>
        <w:spacing w:after="18" w:line="259" w:lineRule="auto"/>
        <w:ind w:left="436" w:right="102" w:hanging="720"/>
      </w:pPr>
      <w:r>
        <w:rPr>
          <w:rFonts w:cs="Arial"/>
        </w:rPr>
        <w:t xml:space="preserve">In some </w:t>
      </w:r>
      <w:r w:rsidR="00947041">
        <w:rPr>
          <w:rFonts w:cs="Arial"/>
        </w:rPr>
        <w:t>cases,</w:t>
      </w:r>
      <w:r>
        <w:rPr>
          <w:rFonts w:cs="Arial"/>
        </w:rPr>
        <w:t xml:space="preserve"> </w:t>
      </w:r>
      <w:r w:rsidR="008A5274">
        <w:rPr>
          <w:rFonts w:cs="Arial"/>
        </w:rPr>
        <w:t xml:space="preserve">child’s progress towards English competency may be slow, despite the additional support they have access to. In these cases the SENCo may recommend an </w:t>
      </w:r>
      <w:r>
        <w:rPr>
          <w:rFonts w:cs="Arial"/>
        </w:rPr>
        <w:t>additional assessment by an external professional</w:t>
      </w:r>
      <w:r w:rsidR="00947041">
        <w:rPr>
          <w:rFonts w:cs="Arial"/>
        </w:rPr>
        <w:t>,</w:t>
      </w:r>
      <w:r>
        <w:rPr>
          <w:rFonts w:cs="Arial"/>
        </w:rPr>
        <w:t xml:space="preserve"> such as </w:t>
      </w:r>
      <w:r w:rsidR="00947041">
        <w:rPr>
          <w:rFonts w:cs="Arial"/>
        </w:rPr>
        <w:t>an ed</w:t>
      </w:r>
      <w:r w:rsidR="008A5274">
        <w:rPr>
          <w:rFonts w:cs="Arial"/>
        </w:rPr>
        <w:t>ucational psychologist, to</w:t>
      </w:r>
      <w:r w:rsidR="00947041">
        <w:rPr>
          <w:rFonts w:cs="Arial"/>
        </w:rPr>
        <w:t xml:space="preserve"> establish if there are any underlying </w:t>
      </w:r>
      <w:r w:rsidR="00972E15">
        <w:rPr>
          <w:rFonts w:cs="Arial"/>
        </w:rPr>
        <w:t>needs</w:t>
      </w:r>
      <w:r w:rsidR="00947041">
        <w:rPr>
          <w:rFonts w:cs="Arial"/>
        </w:rPr>
        <w:t>.</w:t>
      </w:r>
    </w:p>
    <w:p w14:paraId="3897C121" w14:textId="77777777" w:rsidR="008A5274" w:rsidRDefault="008A5274" w:rsidP="008A5274">
      <w:pPr>
        <w:pStyle w:val="ListParagraph"/>
      </w:pPr>
    </w:p>
    <w:p w14:paraId="30D8DFB0" w14:textId="35C1DB07" w:rsidR="008A5274" w:rsidRDefault="004B5AA1" w:rsidP="003973CF">
      <w:pPr>
        <w:numPr>
          <w:ilvl w:val="1"/>
          <w:numId w:val="1"/>
        </w:numPr>
        <w:spacing w:after="18" w:line="259" w:lineRule="auto"/>
        <w:ind w:left="436" w:right="102" w:hanging="720"/>
      </w:pPr>
      <w:r>
        <w:t xml:space="preserve">The schools must report annually on the number of children with EAL. </w:t>
      </w:r>
      <w:r w:rsidR="008A5274">
        <w:t>For the purpose of reporting, a child would remain identified as EAL until such a point where the</w:t>
      </w:r>
      <w:r w:rsidR="00BE5D32">
        <w:t>ir</w:t>
      </w:r>
      <w:r w:rsidR="008A5274">
        <w:t xml:space="preserve"> language skills no longer pres</w:t>
      </w:r>
      <w:r>
        <w:t>ent a barrier to their learning as determined by the SENCo</w:t>
      </w:r>
      <w:r w:rsidR="00BE5D32">
        <w:t>,</w:t>
      </w:r>
      <w:r>
        <w:t xml:space="preserve"> in collaboration with teaching</w:t>
      </w:r>
      <w:r w:rsidR="00BE5D32">
        <w:t xml:space="preserve"> and support</w:t>
      </w:r>
      <w:r>
        <w:t xml:space="preserve"> staff.</w:t>
      </w:r>
    </w:p>
    <w:p w14:paraId="40479314" w14:textId="77777777" w:rsidR="00BE5D32" w:rsidRDefault="00BE5D32" w:rsidP="00BE5D32">
      <w:pPr>
        <w:spacing w:after="18" w:line="259" w:lineRule="auto"/>
        <w:ind w:right="102"/>
      </w:pPr>
    </w:p>
    <w:p w14:paraId="0B0A2E78" w14:textId="77777777" w:rsidR="00CA7A6C" w:rsidRDefault="00CA7A6C" w:rsidP="004C6459">
      <w:pPr>
        <w:pStyle w:val="Default"/>
        <w:jc w:val="center"/>
        <w:rPr>
          <w:b/>
          <w:bCs/>
          <w:color w:val="auto"/>
          <w:sz w:val="28"/>
          <w:szCs w:val="28"/>
        </w:rPr>
      </w:pPr>
    </w:p>
    <w:sectPr w:rsidR="00CA7A6C" w:rsidSect="007D5EE1">
      <w:headerReference w:type="even" r:id="rId9"/>
      <w:headerReference w:type="default" r:id="rId10"/>
      <w:footerReference w:type="default" r:id="rId11"/>
      <w:pgSz w:w="11906" w:h="16838"/>
      <w:pgMar w:top="426" w:right="849" w:bottom="1134" w:left="1080" w:header="709"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FC02F" w14:textId="77777777" w:rsidR="00951E8E" w:rsidRDefault="00951E8E" w:rsidP="00D77634">
      <w:r>
        <w:separator/>
      </w:r>
    </w:p>
  </w:endnote>
  <w:endnote w:type="continuationSeparator" w:id="0">
    <w:p w14:paraId="5D2395C6" w14:textId="77777777" w:rsidR="00951E8E" w:rsidRDefault="00951E8E" w:rsidP="00D7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754D9" w14:textId="14B18857" w:rsidR="00BE5D32" w:rsidRPr="00DB126A" w:rsidRDefault="00BE5D32" w:rsidP="00BE5D32">
    <w:pPr>
      <w:pStyle w:val="Footer"/>
      <w:pBdr>
        <w:top w:val="single" w:sz="4" w:space="0" w:color="auto"/>
      </w:pBdr>
      <w:tabs>
        <w:tab w:val="right" w:pos="9923"/>
      </w:tabs>
      <w:ind w:left="-425" w:right="-284"/>
      <w:jc w:val="right"/>
      <w:rPr>
        <w:rStyle w:val="PageNumber"/>
        <w:rFonts w:cs="Arial"/>
        <w:sz w:val="20"/>
        <w:szCs w:val="20"/>
      </w:rPr>
    </w:pPr>
    <w:bookmarkStart w:id="0" w:name="_Hlk129940005"/>
    <w:r w:rsidRPr="00DB126A">
      <w:rPr>
        <w:rStyle w:val="PageNumber"/>
        <w:rFonts w:cs="Arial"/>
        <w:sz w:val="20"/>
        <w:szCs w:val="20"/>
      </w:rPr>
      <w:t>The Gregg Schools Trust</w:t>
    </w:r>
    <w:bookmarkEnd w:id="0"/>
    <w:r>
      <w:rPr>
        <w:rStyle w:val="PageNumber"/>
        <w:rFonts w:cs="Arial"/>
        <w:sz w:val="20"/>
        <w:szCs w:val="20"/>
      </w:rPr>
      <w:t>:</w:t>
    </w:r>
    <w:r w:rsidRPr="00DB126A">
      <w:rPr>
        <w:rStyle w:val="PageNumber"/>
        <w:rFonts w:cs="Arial"/>
        <w:sz w:val="20"/>
        <w:szCs w:val="20"/>
      </w:rPr>
      <w:t xml:space="preserve"> </w:t>
    </w:r>
    <w:r w:rsidRPr="00CA7A6C">
      <w:rPr>
        <w:rFonts w:cs="Arial"/>
        <w:sz w:val="20"/>
        <w:szCs w:val="20"/>
      </w:rPr>
      <w:t>Arrangements for Students with EHC or EAL</w:t>
    </w:r>
    <w:r>
      <w:rPr>
        <w:rFonts w:cs="Arial"/>
        <w:sz w:val="20"/>
        <w:szCs w:val="20"/>
      </w:rPr>
      <w:t xml:space="preserve"> V1.4</w:t>
    </w:r>
  </w:p>
  <w:p w14:paraId="2EDECCDE" w14:textId="77777777" w:rsidR="00BE5D32" w:rsidRPr="00DB126A" w:rsidRDefault="00BE5D32" w:rsidP="00BE5D32">
    <w:pPr>
      <w:pStyle w:val="Footer"/>
      <w:pBdr>
        <w:top w:val="single" w:sz="4" w:space="0" w:color="auto"/>
      </w:pBdr>
      <w:tabs>
        <w:tab w:val="right" w:pos="9923"/>
      </w:tabs>
      <w:ind w:left="-425" w:right="-284"/>
      <w:jc w:val="right"/>
      <w:rPr>
        <w:rStyle w:val="PageNumber"/>
        <w:rFonts w:cs="Arial"/>
        <w:sz w:val="20"/>
        <w:szCs w:val="20"/>
      </w:rPr>
    </w:pPr>
    <w:r w:rsidRPr="00DB126A">
      <w:rPr>
        <w:rStyle w:val="PageNumber"/>
        <w:rFonts w:cs="Arial"/>
        <w:sz w:val="20"/>
        <w:szCs w:val="20"/>
      </w:rPr>
      <w:t xml:space="preserve"> Reviewed </w:t>
    </w:r>
    <w:r>
      <w:rPr>
        <w:rStyle w:val="PageNumber"/>
        <w:rFonts w:cs="Arial"/>
        <w:sz w:val="20"/>
        <w:szCs w:val="20"/>
      </w:rPr>
      <w:t>March</w:t>
    </w:r>
    <w:r w:rsidRPr="00DB126A">
      <w:rPr>
        <w:rStyle w:val="PageNumber"/>
        <w:rFonts w:cs="Arial"/>
        <w:sz w:val="20"/>
        <w:szCs w:val="20"/>
      </w:rPr>
      <w:t xml:space="preserve"> 20</w:t>
    </w:r>
    <w:r>
      <w:rPr>
        <w:rStyle w:val="PageNumber"/>
        <w:rFonts w:cs="Arial"/>
        <w:sz w:val="20"/>
        <w:szCs w:val="20"/>
      </w:rPr>
      <w:t>23</w:t>
    </w:r>
  </w:p>
  <w:p w14:paraId="06706065" w14:textId="77777777" w:rsidR="00951E8E" w:rsidRPr="00BE5D32" w:rsidRDefault="00951E8E" w:rsidP="00BE5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E332E" w14:textId="77777777" w:rsidR="00951E8E" w:rsidRDefault="00951E8E" w:rsidP="00D77634">
      <w:r>
        <w:separator/>
      </w:r>
    </w:p>
  </w:footnote>
  <w:footnote w:type="continuationSeparator" w:id="0">
    <w:p w14:paraId="52FD9929" w14:textId="77777777" w:rsidR="00951E8E" w:rsidRDefault="00951E8E" w:rsidP="00D77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7597" w14:textId="77777777" w:rsidR="00951E8E" w:rsidRDefault="00951E8E" w:rsidP="001D052B">
    <w:pPr>
      <w:jc w:val="center"/>
    </w:pPr>
    <w:r>
      <w:t xml:space="preserve">The Gregg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4DFC" w14:textId="77777777" w:rsidR="00951E8E" w:rsidRPr="00467E3F" w:rsidRDefault="00951E8E" w:rsidP="001D052B">
    <w:pPr>
      <w:jc w:val="center"/>
      <w:rPr>
        <w:rFonts w:cs="Arial"/>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45A98"/>
    <w:multiLevelType w:val="hybridMultilevel"/>
    <w:tmpl w:val="8FCC0784"/>
    <w:lvl w:ilvl="0" w:tplc="751E8F04">
      <w:start w:val="3"/>
      <w:numFmt w:val="decimal"/>
      <w:lvlText w:val="%1."/>
      <w:lvlJc w:val="left"/>
      <w:pPr>
        <w:ind w:left="6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5515FC"/>
    <w:multiLevelType w:val="multilevel"/>
    <w:tmpl w:val="1430BC0C"/>
    <w:lvl w:ilvl="0">
      <w:start w:val="2"/>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DE27BF1"/>
    <w:multiLevelType w:val="hybridMultilevel"/>
    <w:tmpl w:val="8FA66D56"/>
    <w:lvl w:ilvl="0" w:tplc="41EED622">
      <w:start w:val="1"/>
      <w:numFmt w:val="decimal"/>
      <w:lvlText w:val="%1."/>
      <w:lvlJc w:val="left"/>
      <w:pPr>
        <w:ind w:left="66" w:hanging="360"/>
      </w:pPr>
      <w:rPr>
        <w:rFonts w:hint="default"/>
      </w:rPr>
    </w:lvl>
    <w:lvl w:ilvl="1" w:tplc="08090019" w:tentative="1">
      <w:start w:val="1"/>
      <w:numFmt w:val="lowerLetter"/>
      <w:lvlText w:val="%2."/>
      <w:lvlJc w:val="left"/>
      <w:pPr>
        <w:ind w:left="786" w:hanging="360"/>
      </w:pPr>
    </w:lvl>
    <w:lvl w:ilvl="2" w:tplc="0809001B" w:tentative="1">
      <w:start w:val="1"/>
      <w:numFmt w:val="lowerRoman"/>
      <w:lvlText w:val="%3."/>
      <w:lvlJc w:val="right"/>
      <w:pPr>
        <w:ind w:left="1506" w:hanging="180"/>
      </w:pPr>
    </w:lvl>
    <w:lvl w:ilvl="3" w:tplc="0809000F" w:tentative="1">
      <w:start w:val="1"/>
      <w:numFmt w:val="decimal"/>
      <w:lvlText w:val="%4."/>
      <w:lvlJc w:val="left"/>
      <w:pPr>
        <w:ind w:left="2226" w:hanging="360"/>
      </w:pPr>
    </w:lvl>
    <w:lvl w:ilvl="4" w:tplc="08090019" w:tentative="1">
      <w:start w:val="1"/>
      <w:numFmt w:val="lowerLetter"/>
      <w:lvlText w:val="%5."/>
      <w:lvlJc w:val="left"/>
      <w:pPr>
        <w:ind w:left="2946" w:hanging="360"/>
      </w:pPr>
    </w:lvl>
    <w:lvl w:ilvl="5" w:tplc="0809001B" w:tentative="1">
      <w:start w:val="1"/>
      <w:numFmt w:val="lowerRoman"/>
      <w:lvlText w:val="%6."/>
      <w:lvlJc w:val="right"/>
      <w:pPr>
        <w:ind w:left="3666" w:hanging="180"/>
      </w:pPr>
    </w:lvl>
    <w:lvl w:ilvl="6" w:tplc="0809000F" w:tentative="1">
      <w:start w:val="1"/>
      <w:numFmt w:val="decimal"/>
      <w:lvlText w:val="%7."/>
      <w:lvlJc w:val="left"/>
      <w:pPr>
        <w:ind w:left="4386" w:hanging="360"/>
      </w:pPr>
    </w:lvl>
    <w:lvl w:ilvl="7" w:tplc="08090019" w:tentative="1">
      <w:start w:val="1"/>
      <w:numFmt w:val="lowerLetter"/>
      <w:lvlText w:val="%8."/>
      <w:lvlJc w:val="left"/>
      <w:pPr>
        <w:ind w:left="5106" w:hanging="360"/>
      </w:pPr>
    </w:lvl>
    <w:lvl w:ilvl="8" w:tplc="0809001B" w:tentative="1">
      <w:start w:val="1"/>
      <w:numFmt w:val="lowerRoman"/>
      <w:lvlText w:val="%9."/>
      <w:lvlJc w:val="right"/>
      <w:pPr>
        <w:ind w:left="5826"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09D"/>
    <w:rsid w:val="0000120F"/>
    <w:rsid w:val="0000127F"/>
    <w:rsid w:val="00005F8A"/>
    <w:rsid w:val="00007ADD"/>
    <w:rsid w:val="00017884"/>
    <w:rsid w:val="000234C2"/>
    <w:rsid w:val="000238FC"/>
    <w:rsid w:val="00024E1A"/>
    <w:rsid w:val="00026B48"/>
    <w:rsid w:val="000308D5"/>
    <w:rsid w:val="000313E2"/>
    <w:rsid w:val="00034C1A"/>
    <w:rsid w:val="0003630F"/>
    <w:rsid w:val="00040C2B"/>
    <w:rsid w:val="0004624D"/>
    <w:rsid w:val="0005265E"/>
    <w:rsid w:val="0005605C"/>
    <w:rsid w:val="00060C6C"/>
    <w:rsid w:val="00062C16"/>
    <w:rsid w:val="00063DFD"/>
    <w:rsid w:val="000647F3"/>
    <w:rsid w:val="00065A1B"/>
    <w:rsid w:val="00074427"/>
    <w:rsid w:val="0007678D"/>
    <w:rsid w:val="00084600"/>
    <w:rsid w:val="000909B2"/>
    <w:rsid w:val="00090EE1"/>
    <w:rsid w:val="00093F1D"/>
    <w:rsid w:val="00094378"/>
    <w:rsid w:val="00095223"/>
    <w:rsid w:val="000955CB"/>
    <w:rsid w:val="000A44B9"/>
    <w:rsid w:val="000B05C9"/>
    <w:rsid w:val="000B088C"/>
    <w:rsid w:val="000B50A8"/>
    <w:rsid w:val="000B52D9"/>
    <w:rsid w:val="000B5A0A"/>
    <w:rsid w:val="000B7E69"/>
    <w:rsid w:val="000C090F"/>
    <w:rsid w:val="000C3162"/>
    <w:rsid w:val="000C5FC2"/>
    <w:rsid w:val="000C7222"/>
    <w:rsid w:val="000D55D8"/>
    <w:rsid w:val="000E3FB8"/>
    <w:rsid w:val="000F35BC"/>
    <w:rsid w:val="00105154"/>
    <w:rsid w:val="00107802"/>
    <w:rsid w:val="00113223"/>
    <w:rsid w:val="00113240"/>
    <w:rsid w:val="00113366"/>
    <w:rsid w:val="00115ED8"/>
    <w:rsid w:val="001223A6"/>
    <w:rsid w:val="00122F73"/>
    <w:rsid w:val="00131467"/>
    <w:rsid w:val="00131F0F"/>
    <w:rsid w:val="00132988"/>
    <w:rsid w:val="00136444"/>
    <w:rsid w:val="001401BC"/>
    <w:rsid w:val="001404F6"/>
    <w:rsid w:val="0014263A"/>
    <w:rsid w:val="00146D5E"/>
    <w:rsid w:val="0014756B"/>
    <w:rsid w:val="001511F4"/>
    <w:rsid w:val="0015187D"/>
    <w:rsid w:val="00153357"/>
    <w:rsid w:val="00153638"/>
    <w:rsid w:val="00155033"/>
    <w:rsid w:val="0015631F"/>
    <w:rsid w:val="00160319"/>
    <w:rsid w:val="0016088D"/>
    <w:rsid w:val="00160A01"/>
    <w:rsid w:val="00161177"/>
    <w:rsid w:val="00163974"/>
    <w:rsid w:val="00165BEF"/>
    <w:rsid w:val="00166D1B"/>
    <w:rsid w:val="001738CB"/>
    <w:rsid w:val="001754D5"/>
    <w:rsid w:val="0018316E"/>
    <w:rsid w:val="0019063D"/>
    <w:rsid w:val="00191B71"/>
    <w:rsid w:val="001A1D1C"/>
    <w:rsid w:val="001A2EC3"/>
    <w:rsid w:val="001B0EE0"/>
    <w:rsid w:val="001B1A38"/>
    <w:rsid w:val="001C2DA4"/>
    <w:rsid w:val="001C632B"/>
    <w:rsid w:val="001C757A"/>
    <w:rsid w:val="001D052B"/>
    <w:rsid w:val="001D341C"/>
    <w:rsid w:val="001E44B9"/>
    <w:rsid w:val="001E4C25"/>
    <w:rsid w:val="001E5D36"/>
    <w:rsid w:val="001E67D7"/>
    <w:rsid w:val="001F290F"/>
    <w:rsid w:val="001F5495"/>
    <w:rsid w:val="001F72EF"/>
    <w:rsid w:val="00210D1C"/>
    <w:rsid w:val="00212246"/>
    <w:rsid w:val="00213D1F"/>
    <w:rsid w:val="00221563"/>
    <w:rsid w:val="002225D0"/>
    <w:rsid w:val="0023156B"/>
    <w:rsid w:val="00234119"/>
    <w:rsid w:val="00237EBD"/>
    <w:rsid w:val="00242F53"/>
    <w:rsid w:val="002455AB"/>
    <w:rsid w:val="00247FC9"/>
    <w:rsid w:val="00256B4F"/>
    <w:rsid w:val="002619C1"/>
    <w:rsid w:val="00264D73"/>
    <w:rsid w:val="002671CB"/>
    <w:rsid w:val="00271F31"/>
    <w:rsid w:val="00272F1B"/>
    <w:rsid w:val="00276806"/>
    <w:rsid w:val="0029321D"/>
    <w:rsid w:val="002932B5"/>
    <w:rsid w:val="002A19C5"/>
    <w:rsid w:val="002A2FE7"/>
    <w:rsid w:val="002B0CA6"/>
    <w:rsid w:val="002B18A2"/>
    <w:rsid w:val="002B2A42"/>
    <w:rsid w:val="002B36BF"/>
    <w:rsid w:val="002B711B"/>
    <w:rsid w:val="002C28BE"/>
    <w:rsid w:val="002C6335"/>
    <w:rsid w:val="002C6F81"/>
    <w:rsid w:val="002D240D"/>
    <w:rsid w:val="002D38DC"/>
    <w:rsid w:val="002D5697"/>
    <w:rsid w:val="002E1F7C"/>
    <w:rsid w:val="002E5A64"/>
    <w:rsid w:val="002E6E8D"/>
    <w:rsid w:val="002F2CEC"/>
    <w:rsid w:val="002F48AA"/>
    <w:rsid w:val="00303258"/>
    <w:rsid w:val="00305AA6"/>
    <w:rsid w:val="00307B04"/>
    <w:rsid w:val="00317968"/>
    <w:rsid w:val="00320004"/>
    <w:rsid w:val="003211DD"/>
    <w:rsid w:val="00322820"/>
    <w:rsid w:val="0032437B"/>
    <w:rsid w:val="00330255"/>
    <w:rsid w:val="003312EE"/>
    <w:rsid w:val="00332427"/>
    <w:rsid w:val="00333A12"/>
    <w:rsid w:val="00337A9D"/>
    <w:rsid w:val="00340205"/>
    <w:rsid w:val="00345661"/>
    <w:rsid w:val="00345FF7"/>
    <w:rsid w:val="00346638"/>
    <w:rsid w:val="00351ED8"/>
    <w:rsid w:val="003559B9"/>
    <w:rsid w:val="003567F5"/>
    <w:rsid w:val="00361CA1"/>
    <w:rsid w:val="00382EDE"/>
    <w:rsid w:val="00393777"/>
    <w:rsid w:val="003973CF"/>
    <w:rsid w:val="003A1909"/>
    <w:rsid w:val="003A4D7E"/>
    <w:rsid w:val="003A6B53"/>
    <w:rsid w:val="003A70B1"/>
    <w:rsid w:val="003B2E73"/>
    <w:rsid w:val="003B36D2"/>
    <w:rsid w:val="003C3E89"/>
    <w:rsid w:val="003D04F2"/>
    <w:rsid w:val="003D0FF3"/>
    <w:rsid w:val="003D135A"/>
    <w:rsid w:val="003D5231"/>
    <w:rsid w:val="003D7C9E"/>
    <w:rsid w:val="003E47AF"/>
    <w:rsid w:val="003E610E"/>
    <w:rsid w:val="003E730E"/>
    <w:rsid w:val="003F0100"/>
    <w:rsid w:val="003F0A9B"/>
    <w:rsid w:val="003F2774"/>
    <w:rsid w:val="003F48A7"/>
    <w:rsid w:val="003F4A22"/>
    <w:rsid w:val="00403F51"/>
    <w:rsid w:val="0040493E"/>
    <w:rsid w:val="004123ED"/>
    <w:rsid w:val="00421223"/>
    <w:rsid w:val="00425A6A"/>
    <w:rsid w:val="00434BB4"/>
    <w:rsid w:val="00436215"/>
    <w:rsid w:val="00444D03"/>
    <w:rsid w:val="00452409"/>
    <w:rsid w:val="004558F3"/>
    <w:rsid w:val="00462587"/>
    <w:rsid w:val="00465F8F"/>
    <w:rsid w:val="00466381"/>
    <w:rsid w:val="00471C29"/>
    <w:rsid w:val="00471FD3"/>
    <w:rsid w:val="0047650E"/>
    <w:rsid w:val="00482177"/>
    <w:rsid w:val="00482D61"/>
    <w:rsid w:val="00483A56"/>
    <w:rsid w:val="004874CE"/>
    <w:rsid w:val="00487C11"/>
    <w:rsid w:val="00492D02"/>
    <w:rsid w:val="00492F09"/>
    <w:rsid w:val="00496BA4"/>
    <w:rsid w:val="0049789C"/>
    <w:rsid w:val="004A0C6E"/>
    <w:rsid w:val="004A6618"/>
    <w:rsid w:val="004A727A"/>
    <w:rsid w:val="004A7692"/>
    <w:rsid w:val="004A7728"/>
    <w:rsid w:val="004B3D22"/>
    <w:rsid w:val="004B5358"/>
    <w:rsid w:val="004B5AA1"/>
    <w:rsid w:val="004B7181"/>
    <w:rsid w:val="004C032B"/>
    <w:rsid w:val="004C1114"/>
    <w:rsid w:val="004C30DA"/>
    <w:rsid w:val="004C6459"/>
    <w:rsid w:val="004D0142"/>
    <w:rsid w:val="004D2FFD"/>
    <w:rsid w:val="004D61D4"/>
    <w:rsid w:val="004D65E0"/>
    <w:rsid w:val="004E33ED"/>
    <w:rsid w:val="004E3F12"/>
    <w:rsid w:val="004E42C4"/>
    <w:rsid w:val="004E4708"/>
    <w:rsid w:val="004F1507"/>
    <w:rsid w:val="004F6B40"/>
    <w:rsid w:val="00500BC8"/>
    <w:rsid w:val="005121DF"/>
    <w:rsid w:val="00513FB0"/>
    <w:rsid w:val="00516D7D"/>
    <w:rsid w:val="005179BD"/>
    <w:rsid w:val="00522944"/>
    <w:rsid w:val="00524378"/>
    <w:rsid w:val="00525D77"/>
    <w:rsid w:val="005266A7"/>
    <w:rsid w:val="005362DC"/>
    <w:rsid w:val="0053650B"/>
    <w:rsid w:val="005371CB"/>
    <w:rsid w:val="00537D8D"/>
    <w:rsid w:val="0054495E"/>
    <w:rsid w:val="005466C5"/>
    <w:rsid w:val="00551EA1"/>
    <w:rsid w:val="00556E42"/>
    <w:rsid w:val="00560582"/>
    <w:rsid w:val="005605EA"/>
    <w:rsid w:val="00563014"/>
    <w:rsid w:val="0056716F"/>
    <w:rsid w:val="00571104"/>
    <w:rsid w:val="00572436"/>
    <w:rsid w:val="00581533"/>
    <w:rsid w:val="00582C61"/>
    <w:rsid w:val="0058437F"/>
    <w:rsid w:val="00585FAC"/>
    <w:rsid w:val="0058751D"/>
    <w:rsid w:val="00587C4C"/>
    <w:rsid w:val="005936CC"/>
    <w:rsid w:val="0059556C"/>
    <w:rsid w:val="00595773"/>
    <w:rsid w:val="00595A3E"/>
    <w:rsid w:val="005A23C6"/>
    <w:rsid w:val="005A380B"/>
    <w:rsid w:val="005A3862"/>
    <w:rsid w:val="005A5A22"/>
    <w:rsid w:val="005A64CD"/>
    <w:rsid w:val="005B24BE"/>
    <w:rsid w:val="005B2D12"/>
    <w:rsid w:val="005B3C2D"/>
    <w:rsid w:val="005B3FAB"/>
    <w:rsid w:val="005B46C3"/>
    <w:rsid w:val="005B5A07"/>
    <w:rsid w:val="005B7B51"/>
    <w:rsid w:val="005C1B55"/>
    <w:rsid w:val="005D25A9"/>
    <w:rsid w:val="005D270D"/>
    <w:rsid w:val="005D48D9"/>
    <w:rsid w:val="005E109B"/>
    <w:rsid w:val="005E37D5"/>
    <w:rsid w:val="005E7DFC"/>
    <w:rsid w:val="005F1E30"/>
    <w:rsid w:val="005F6345"/>
    <w:rsid w:val="006007C5"/>
    <w:rsid w:val="00602263"/>
    <w:rsid w:val="00604D89"/>
    <w:rsid w:val="00616129"/>
    <w:rsid w:val="00623075"/>
    <w:rsid w:val="00623A52"/>
    <w:rsid w:val="00624027"/>
    <w:rsid w:val="00625EFC"/>
    <w:rsid w:val="00625F6D"/>
    <w:rsid w:val="006277E5"/>
    <w:rsid w:val="00632714"/>
    <w:rsid w:val="0063592C"/>
    <w:rsid w:val="00635BD2"/>
    <w:rsid w:val="00641F86"/>
    <w:rsid w:val="00642515"/>
    <w:rsid w:val="0064491D"/>
    <w:rsid w:val="006456EC"/>
    <w:rsid w:val="00650135"/>
    <w:rsid w:val="006519F4"/>
    <w:rsid w:val="00652E44"/>
    <w:rsid w:val="00654469"/>
    <w:rsid w:val="00677F50"/>
    <w:rsid w:val="00684BFB"/>
    <w:rsid w:val="006856BB"/>
    <w:rsid w:val="006861F3"/>
    <w:rsid w:val="00687251"/>
    <w:rsid w:val="0069038E"/>
    <w:rsid w:val="006968FC"/>
    <w:rsid w:val="006A6BBA"/>
    <w:rsid w:val="006B111B"/>
    <w:rsid w:val="006B2602"/>
    <w:rsid w:val="006B2BA5"/>
    <w:rsid w:val="006B3515"/>
    <w:rsid w:val="006C73AB"/>
    <w:rsid w:val="006D0F48"/>
    <w:rsid w:val="006D1430"/>
    <w:rsid w:val="006D3EF4"/>
    <w:rsid w:val="006D3FBF"/>
    <w:rsid w:val="006D6C27"/>
    <w:rsid w:val="006E7B47"/>
    <w:rsid w:val="006F2BA2"/>
    <w:rsid w:val="006F5E24"/>
    <w:rsid w:val="006F7864"/>
    <w:rsid w:val="00701C35"/>
    <w:rsid w:val="00703309"/>
    <w:rsid w:val="007036F0"/>
    <w:rsid w:val="00712011"/>
    <w:rsid w:val="007136E4"/>
    <w:rsid w:val="00715084"/>
    <w:rsid w:val="0072781B"/>
    <w:rsid w:val="007376CF"/>
    <w:rsid w:val="00742916"/>
    <w:rsid w:val="00754DB9"/>
    <w:rsid w:val="0075588F"/>
    <w:rsid w:val="00756B55"/>
    <w:rsid w:val="00757777"/>
    <w:rsid w:val="00760EC9"/>
    <w:rsid w:val="0076213C"/>
    <w:rsid w:val="00764FB7"/>
    <w:rsid w:val="00765446"/>
    <w:rsid w:val="007724C9"/>
    <w:rsid w:val="00782A6E"/>
    <w:rsid w:val="00784649"/>
    <w:rsid w:val="00786143"/>
    <w:rsid w:val="007946B0"/>
    <w:rsid w:val="007A4B8C"/>
    <w:rsid w:val="007A5992"/>
    <w:rsid w:val="007A73F7"/>
    <w:rsid w:val="007B5EB7"/>
    <w:rsid w:val="007C1D3C"/>
    <w:rsid w:val="007C1E89"/>
    <w:rsid w:val="007C5F5D"/>
    <w:rsid w:val="007C7592"/>
    <w:rsid w:val="007D1237"/>
    <w:rsid w:val="007D2A6B"/>
    <w:rsid w:val="007D3D24"/>
    <w:rsid w:val="007D5385"/>
    <w:rsid w:val="007D5EE1"/>
    <w:rsid w:val="007F0087"/>
    <w:rsid w:val="007F1636"/>
    <w:rsid w:val="007F3654"/>
    <w:rsid w:val="007F48D6"/>
    <w:rsid w:val="007F611D"/>
    <w:rsid w:val="0080668B"/>
    <w:rsid w:val="00806F4F"/>
    <w:rsid w:val="00811C92"/>
    <w:rsid w:val="0081515F"/>
    <w:rsid w:val="0081611F"/>
    <w:rsid w:val="008168BF"/>
    <w:rsid w:val="0081783D"/>
    <w:rsid w:val="00821138"/>
    <w:rsid w:val="00827316"/>
    <w:rsid w:val="008275A9"/>
    <w:rsid w:val="00832383"/>
    <w:rsid w:val="00832A66"/>
    <w:rsid w:val="0084146E"/>
    <w:rsid w:val="008438D3"/>
    <w:rsid w:val="00847EFB"/>
    <w:rsid w:val="00851F34"/>
    <w:rsid w:val="00854E02"/>
    <w:rsid w:val="00857E18"/>
    <w:rsid w:val="00863989"/>
    <w:rsid w:val="00865F68"/>
    <w:rsid w:val="008661A7"/>
    <w:rsid w:val="0087296A"/>
    <w:rsid w:val="008733C9"/>
    <w:rsid w:val="00876402"/>
    <w:rsid w:val="0087776A"/>
    <w:rsid w:val="0088360E"/>
    <w:rsid w:val="00884400"/>
    <w:rsid w:val="00890F03"/>
    <w:rsid w:val="00895D4D"/>
    <w:rsid w:val="00896788"/>
    <w:rsid w:val="008A13D3"/>
    <w:rsid w:val="008A5274"/>
    <w:rsid w:val="008B19C9"/>
    <w:rsid w:val="008B4DFA"/>
    <w:rsid w:val="008C2FB9"/>
    <w:rsid w:val="008C4B0A"/>
    <w:rsid w:val="008D01E4"/>
    <w:rsid w:val="008D129F"/>
    <w:rsid w:val="008D23EF"/>
    <w:rsid w:val="008D27BE"/>
    <w:rsid w:val="008D2BBB"/>
    <w:rsid w:val="008E2F27"/>
    <w:rsid w:val="008E3E4A"/>
    <w:rsid w:val="008E6253"/>
    <w:rsid w:val="008E7038"/>
    <w:rsid w:val="008F3105"/>
    <w:rsid w:val="008F376C"/>
    <w:rsid w:val="008F6630"/>
    <w:rsid w:val="0090227C"/>
    <w:rsid w:val="009044EC"/>
    <w:rsid w:val="0090754F"/>
    <w:rsid w:val="00910186"/>
    <w:rsid w:val="00910A27"/>
    <w:rsid w:val="00912481"/>
    <w:rsid w:val="00917B6A"/>
    <w:rsid w:val="0093032C"/>
    <w:rsid w:val="0093170F"/>
    <w:rsid w:val="0093544D"/>
    <w:rsid w:val="0093568C"/>
    <w:rsid w:val="00946C16"/>
    <w:rsid w:val="00947041"/>
    <w:rsid w:val="00951E8E"/>
    <w:rsid w:val="009552D8"/>
    <w:rsid w:val="00961AFD"/>
    <w:rsid w:val="00962A91"/>
    <w:rsid w:val="00966B6E"/>
    <w:rsid w:val="0096723B"/>
    <w:rsid w:val="00971D55"/>
    <w:rsid w:val="00972E15"/>
    <w:rsid w:val="00985613"/>
    <w:rsid w:val="0099085E"/>
    <w:rsid w:val="00996F29"/>
    <w:rsid w:val="00997BA1"/>
    <w:rsid w:val="009A0660"/>
    <w:rsid w:val="009A2441"/>
    <w:rsid w:val="009A2EB6"/>
    <w:rsid w:val="009A4887"/>
    <w:rsid w:val="009A5B01"/>
    <w:rsid w:val="009B3A5D"/>
    <w:rsid w:val="009B3F10"/>
    <w:rsid w:val="009C03B4"/>
    <w:rsid w:val="009C0466"/>
    <w:rsid w:val="009C04EB"/>
    <w:rsid w:val="009C0D9E"/>
    <w:rsid w:val="009C0DBD"/>
    <w:rsid w:val="009C1380"/>
    <w:rsid w:val="009C2A21"/>
    <w:rsid w:val="009D7C4D"/>
    <w:rsid w:val="009F3FC3"/>
    <w:rsid w:val="00A034EF"/>
    <w:rsid w:val="00A077EC"/>
    <w:rsid w:val="00A122A5"/>
    <w:rsid w:val="00A1321F"/>
    <w:rsid w:val="00A13890"/>
    <w:rsid w:val="00A1415F"/>
    <w:rsid w:val="00A148B5"/>
    <w:rsid w:val="00A14D6F"/>
    <w:rsid w:val="00A25C20"/>
    <w:rsid w:val="00A409A1"/>
    <w:rsid w:val="00A437F7"/>
    <w:rsid w:val="00A459CA"/>
    <w:rsid w:val="00A56698"/>
    <w:rsid w:val="00A56A66"/>
    <w:rsid w:val="00A61098"/>
    <w:rsid w:val="00A61644"/>
    <w:rsid w:val="00A616F4"/>
    <w:rsid w:val="00A6457F"/>
    <w:rsid w:val="00A71634"/>
    <w:rsid w:val="00A71C81"/>
    <w:rsid w:val="00A8406D"/>
    <w:rsid w:val="00A87572"/>
    <w:rsid w:val="00A914AD"/>
    <w:rsid w:val="00AA040E"/>
    <w:rsid w:val="00AA138D"/>
    <w:rsid w:val="00AA7B0F"/>
    <w:rsid w:val="00AB1DBD"/>
    <w:rsid w:val="00AB6C33"/>
    <w:rsid w:val="00AC228B"/>
    <w:rsid w:val="00AC48E0"/>
    <w:rsid w:val="00AC7378"/>
    <w:rsid w:val="00AD61CC"/>
    <w:rsid w:val="00AF0C05"/>
    <w:rsid w:val="00AF314C"/>
    <w:rsid w:val="00AF66AF"/>
    <w:rsid w:val="00B1081A"/>
    <w:rsid w:val="00B15202"/>
    <w:rsid w:val="00B20E02"/>
    <w:rsid w:val="00B34CB0"/>
    <w:rsid w:val="00B41A69"/>
    <w:rsid w:val="00B439FC"/>
    <w:rsid w:val="00B442EA"/>
    <w:rsid w:val="00B476B2"/>
    <w:rsid w:val="00B47936"/>
    <w:rsid w:val="00B50664"/>
    <w:rsid w:val="00B51B51"/>
    <w:rsid w:val="00B5382D"/>
    <w:rsid w:val="00B563B0"/>
    <w:rsid w:val="00B715B4"/>
    <w:rsid w:val="00B75A25"/>
    <w:rsid w:val="00B83C2E"/>
    <w:rsid w:val="00B86A56"/>
    <w:rsid w:val="00B92C5F"/>
    <w:rsid w:val="00B97644"/>
    <w:rsid w:val="00BA14AD"/>
    <w:rsid w:val="00BA1A94"/>
    <w:rsid w:val="00BA20A6"/>
    <w:rsid w:val="00BA2D66"/>
    <w:rsid w:val="00BA3A42"/>
    <w:rsid w:val="00BA4724"/>
    <w:rsid w:val="00BB0823"/>
    <w:rsid w:val="00BB0E2B"/>
    <w:rsid w:val="00BB1F77"/>
    <w:rsid w:val="00BB312B"/>
    <w:rsid w:val="00BC3C82"/>
    <w:rsid w:val="00BC3E9D"/>
    <w:rsid w:val="00BC4B3D"/>
    <w:rsid w:val="00BC54E2"/>
    <w:rsid w:val="00BC616F"/>
    <w:rsid w:val="00BD30C3"/>
    <w:rsid w:val="00BD3404"/>
    <w:rsid w:val="00BD4318"/>
    <w:rsid w:val="00BD6FD1"/>
    <w:rsid w:val="00BE5D32"/>
    <w:rsid w:val="00BE6F11"/>
    <w:rsid w:val="00BF05AA"/>
    <w:rsid w:val="00BF149D"/>
    <w:rsid w:val="00BF2416"/>
    <w:rsid w:val="00BF6F7B"/>
    <w:rsid w:val="00C02ADB"/>
    <w:rsid w:val="00C03470"/>
    <w:rsid w:val="00C048B3"/>
    <w:rsid w:val="00C0588C"/>
    <w:rsid w:val="00C1133B"/>
    <w:rsid w:val="00C11499"/>
    <w:rsid w:val="00C12C50"/>
    <w:rsid w:val="00C23D1F"/>
    <w:rsid w:val="00C23F22"/>
    <w:rsid w:val="00C31B5E"/>
    <w:rsid w:val="00C3309D"/>
    <w:rsid w:val="00C34373"/>
    <w:rsid w:val="00C36818"/>
    <w:rsid w:val="00C37A04"/>
    <w:rsid w:val="00C529B3"/>
    <w:rsid w:val="00C54A2E"/>
    <w:rsid w:val="00C56CEA"/>
    <w:rsid w:val="00C604E1"/>
    <w:rsid w:val="00C619ED"/>
    <w:rsid w:val="00C61C5F"/>
    <w:rsid w:val="00C62CB4"/>
    <w:rsid w:val="00C65BE3"/>
    <w:rsid w:val="00C66141"/>
    <w:rsid w:val="00C76FC6"/>
    <w:rsid w:val="00C77B0A"/>
    <w:rsid w:val="00C814EA"/>
    <w:rsid w:val="00C93254"/>
    <w:rsid w:val="00CA32B1"/>
    <w:rsid w:val="00CA6988"/>
    <w:rsid w:val="00CA7A6C"/>
    <w:rsid w:val="00CB0D21"/>
    <w:rsid w:val="00CB28DF"/>
    <w:rsid w:val="00CB2B91"/>
    <w:rsid w:val="00CB4BAB"/>
    <w:rsid w:val="00CC37E2"/>
    <w:rsid w:val="00CC3EEC"/>
    <w:rsid w:val="00CD3EFA"/>
    <w:rsid w:val="00CD677C"/>
    <w:rsid w:val="00CE2F95"/>
    <w:rsid w:val="00CE3328"/>
    <w:rsid w:val="00CE5A48"/>
    <w:rsid w:val="00CE5D7B"/>
    <w:rsid w:val="00CF0E80"/>
    <w:rsid w:val="00CF5419"/>
    <w:rsid w:val="00D000A7"/>
    <w:rsid w:val="00D04088"/>
    <w:rsid w:val="00D074AF"/>
    <w:rsid w:val="00D1029F"/>
    <w:rsid w:val="00D17879"/>
    <w:rsid w:val="00D206E5"/>
    <w:rsid w:val="00D20CD0"/>
    <w:rsid w:val="00D23AE4"/>
    <w:rsid w:val="00D24C1F"/>
    <w:rsid w:val="00D3258E"/>
    <w:rsid w:val="00D40389"/>
    <w:rsid w:val="00D447CC"/>
    <w:rsid w:val="00D5303C"/>
    <w:rsid w:val="00D54AA7"/>
    <w:rsid w:val="00D65C5D"/>
    <w:rsid w:val="00D664D5"/>
    <w:rsid w:val="00D70EBF"/>
    <w:rsid w:val="00D7565C"/>
    <w:rsid w:val="00D77634"/>
    <w:rsid w:val="00D83532"/>
    <w:rsid w:val="00D848E7"/>
    <w:rsid w:val="00D8705D"/>
    <w:rsid w:val="00D90C35"/>
    <w:rsid w:val="00D94C99"/>
    <w:rsid w:val="00DA12C3"/>
    <w:rsid w:val="00DA21EE"/>
    <w:rsid w:val="00DA34BA"/>
    <w:rsid w:val="00DB5CBF"/>
    <w:rsid w:val="00DB5F2F"/>
    <w:rsid w:val="00DC37CE"/>
    <w:rsid w:val="00DC4EDD"/>
    <w:rsid w:val="00DD02A7"/>
    <w:rsid w:val="00DD54C9"/>
    <w:rsid w:val="00DE25A1"/>
    <w:rsid w:val="00DE33F5"/>
    <w:rsid w:val="00DE583C"/>
    <w:rsid w:val="00DE5EDB"/>
    <w:rsid w:val="00DF160A"/>
    <w:rsid w:val="00DF22F8"/>
    <w:rsid w:val="00E00A45"/>
    <w:rsid w:val="00E01027"/>
    <w:rsid w:val="00E031AA"/>
    <w:rsid w:val="00E03B63"/>
    <w:rsid w:val="00E04242"/>
    <w:rsid w:val="00E05D79"/>
    <w:rsid w:val="00E06732"/>
    <w:rsid w:val="00E06A5C"/>
    <w:rsid w:val="00E12F30"/>
    <w:rsid w:val="00E13962"/>
    <w:rsid w:val="00E2000F"/>
    <w:rsid w:val="00E27680"/>
    <w:rsid w:val="00E31D70"/>
    <w:rsid w:val="00E33545"/>
    <w:rsid w:val="00E35D9C"/>
    <w:rsid w:val="00E37D4E"/>
    <w:rsid w:val="00E40A85"/>
    <w:rsid w:val="00E429E9"/>
    <w:rsid w:val="00E4705C"/>
    <w:rsid w:val="00E477B0"/>
    <w:rsid w:val="00E47ADB"/>
    <w:rsid w:val="00E51F74"/>
    <w:rsid w:val="00E52BB7"/>
    <w:rsid w:val="00E531FE"/>
    <w:rsid w:val="00E5377D"/>
    <w:rsid w:val="00E56089"/>
    <w:rsid w:val="00E61978"/>
    <w:rsid w:val="00E62738"/>
    <w:rsid w:val="00E644F5"/>
    <w:rsid w:val="00E75823"/>
    <w:rsid w:val="00E76339"/>
    <w:rsid w:val="00E76C06"/>
    <w:rsid w:val="00E7725B"/>
    <w:rsid w:val="00E85628"/>
    <w:rsid w:val="00E875B7"/>
    <w:rsid w:val="00E94896"/>
    <w:rsid w:val="00EA6561"/>
    <w:rsid w:val="00EB05B1"/>
    <w:rsid w:val="00EB0D38"/>
    <w:rsid w:val="00EB294D"/>
    <w:rsid w:val="00EB6135"/>
    <w:rsid w:val="00EC4585"/>
    <w:rsid w:val="00EC612C"/>
    <w:rsid w:val="00ED2A2A"/>
    <w:rsid w:val="00ED71E3"/>
    <w:rsid w:val="00EE0C55"/>
    <w:rsid w:val="00EE2BEA"/>
    <w:rsid w:val="00EE59E0"/>
    <w:rsid w:val="00EF156A"/>
    <w:rsid w:val="00EF1F2A"/>
    <w:rsid w:val="00EF397D"/>
    <w:rsid w:val="00EF68ED"/>
    <w:rsid w:val="00F009F0"/>
    <w:rsid w:val="00F02B17"/>
    <w:rsid w:val="00F11171"/>
    <w:rsid w:val="00F16597"/>
    <w:rsid w:val="00F16BCF"/>
    <w:rsid w:val="00F176CC"/>
    <w:rsid w:val="00F218B0"/>
    <w:rsid w:val="00F21F13"/>
    <w:rsid w:val="00F2249F"/>
    <w:rsid w:val="00F37FCF"/>
    <w:rsid w:val="00F40A36"/>
    <w:rsid w:val="00F46E4D"/>
    <w:rsid w:val="00F543DB"/>
    <w:rsid w:val="00F56090"/>
    <w:rsid w:val="00F560FE"/>
    <w:rsid w:val="00F60653"/>
    <w:rsid w:val="00F631D0"/>
    <w:rsid w:val="00F65D0C"/>
    <w:rsid w:val="00F671C4"/>
    <w:rsid w:val="00F67D87"/>
    <w:rsid w:val="00F67DC3"/>
    <w:rsid w:val="00F760A3"/>
    <w:rsid w:val="00F77E89"/>
    <w:rsid w:val="00F831B5"/>
    <w:rsid w:val="00F855B3"/>
    <w:rsid w:val="00F86C4B"/>
    <w:rsid w:val="00F87EAF"/>
    <w:rsid w:val="00F91438"/>
    <w:rsid w:val="00F973F1"/>
    <w:rsid w:val="00FA2DF5"/>
    <w:rsid w:val="00FB2CA0"/>
    <w:rsid w:val="00FB34B6"/>
    <w:rsid w:val="00FB65D7"/>
    <w:rsid w:val="00FB7B7D"/>
    <w:rsid w:val="00FC0405"/>
    <w:rsid w:val="00FC0C99"/>
    <w:rsid w:val="00FD1C9D"/>
    <w:rsid w:val="00FD6C6B"/>
    <w:rsid w:val="00FE2256"/>
    <w:rsid w:val="00FE2A7C"/>
    <w:rsid w:val="00FE4962"/>
    <w:rsid w:val="00FE5ABE"/>
    <w:rsid w:val="00FE6786"/>
    <w:rsid w:val="00FF14A1"/>
    <w:rsid w:val="00FF6377"/>
    <w:rsid w:val="00FF77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238EE84"/>
  <w15:chartTrackingRefBased/>
  <w15:docId w15:val="{C6D71F8E-441F-4FC5-8FE3-4FD7BB57B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09D"/>
    <w:rPr>
      <w:rFonts w:ascii="Arial" w:eastAsia="Times New Roman" w:hAnsi="Arial"/>
      <w:sz w:val="24"/>
      <w:szCs w:val="24"/>
      <w:lang w:eastAsia="en-GB"/>
    </w:rPr>
  </w:style>
  <w:style w:type="paragraph" w:styleId="Heading1">
    <w:name w:val="heading 1"/>
    <w:basedOn w:val="Normal"/>
    <w:next w:val="Normal"/>
    <w:link w:val="Heading1Char"/>
    <w:uiPriority w:val="9"/>
    <w:qFormat/>
    <w:rsid w:val="00234119"/>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uiPriority w:val="9"/>
    <w:semiHidden/>
    <w:unhideWhenUsed/>
    <w:qFormat/>
    <w:rsid w:val="002932B5"/>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2932B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3309D"/>
    <w:pPr>
      <w:spacing w:before="100" w:beforeAutospacing="1" w:after="100" w:afterAutospacing="1"/>
    </w:pPr>
  </w:style>
  <w:style w:type="character" w:customStyle="1" w:styleId="BodyTextChar">
    <w:name w:val="Body Text Char"/>
    <w:link w:val="BodyText"/>
    <w:rsid w:val="00C3309D"/>
    <w:rPr>
      <w:rFonts w:ascii="Arial" w:eastAsia="Times New Roman" w:hAnsi="Arial" w:cs="Times New Roman"/>
      <w:sz w:val="24"/>
      <w:szCs w:val="24"/>
      <w:lang w:eastAsia="en-GB"/>
    </w:rPr>
  </w:style>
  <w:style w:type="paragraph" w:styleId="Footer">
    <w:name w:val="footer"/>
    <w:basedOn w:val="Normal"/>
    <w:link w:val="FooterChar"/>
    <w:uiPriority w:val="99"/>
    <w:rsid w:val="00C3309D"/>
    <w:pPr>
      <w:tabs>
        <w:tab w:val="center" w:pos="4153"/>
        <w:tab w:val="right" w:pos="8306"/>
      </w:tabs>
    </w:pPr>
  </w:style>
  <w:style w:type="character" w:customStyle="1" w:styleId="FooterChar">
    <w:name w:val="Footer Char"/>
    <w:link w:val="Footer"/>
    <w:uiPriority w:val="99"/>
    <w:rsid w:val="00C3309D"/>
    <w:rPr>
      <w:rFonts w:ascii="Arial" w:eastAsia="Times New Roman" w:hAnsi="Arial" w:cs="Times New Roman"/>
      <w:sz w:val="24"/>
      <w:szCs w:val="24"/>
      <w:lang w:eastAsia="en-GB"/>
    </w:rPr>
  </w:style>
  <w:style w:type="paragraph" w:customStyle="1" w:styleId="Default">
    <w:name w:val="Default"/>
    <w:rsid w:val="00C3309D"/>
    <w:pPr>
      <w:autoSpaceDE w:val="0"/>
      <w:autoSpaceDN w:val="0"/>
      <w:adjustRightInd w:val="0"/>
    </w:pPr>
    <w:rPr>
      <w:rFonts w:ascii="Arial" w:eastAsia="Times New Roman" w:hAnsi="Arial" w:cs="Arial"/>
      <w:color w:val="000000"/>
      <w:sz w:val="24"/>
      <w:szCs w:val="24"/>
      <w:lang w:eastAsia="en-US"/>
    </w:rPr>
  </w:style>
  <w:style w:type="paragraph" w:customStyle="1" w:styleId="CM8">
    <w:name w:val="CM8"/>
    <w:basedOn w:val="Default"/>
    <w:next w:val="Default"/>
    <w:rsid w:val="00C3309D"/>
    <w:rPr>
      <w:color w:val="auto"/>
    </w:rPr>
  </w:style>
  <w:style w:type="paragraph" w:customStyle="1" w:styleId="ColorfulList-Accent11">
    <w:name w:val="Colorful List - Accent 11"/>
    <w:basedOn w:val="Normal"/>
    <w:uiPriority w:val="34"/>
    <w:qFormat/>
    <w:rsid w:val="00C3309D"/>
    <w:pPr>
      <w:ind w:left="720"/>
    </w:pPr>
  </w:style>
  <w:style w:type="paragraph" w:styleId="Header">
    <w:name w:val="header"/>
    <w:basedOn w:val="Normal"/>
    <w:link w:val="HeaderChar"/>
    <w:uiPriority w:val="99"/>
    <w:unhideWhenUsed/>
    <w:rsid w:val="00D77634"/>
    <w:pPr>
      <w:tabs>
        <w:tab w:val="center" w:pos="4513"/>
        <w:tab w:val="right" w:pos="9026"/>
      </w:tabs>
    </w:pPr>
  </w:style>
  <w:style w:type="character" w:customStyle="1" w:styleId="HeaderChar">
    <w:name w:val="Header Char"/>
    <w:link w:val="Header"/>
    <w:uiPriority w:val="99"/>
    <w:rsid w:val="00D77634"/>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D77634"/>
    <w:rPr>
      <w:rFonts w:ascii="Tahoma" w:hAnsi="Tahoma" w:cs="Tahoma"/>
      <w:sz w:val="16"/>
      <w:szCs w:val="16"/>
    </w:rPr>
  </w:style>
  <w:style w:type="character" w:customStyle="1" w:styleId="BalloonTextChar">
    <w:name w:val="Balloon Text Char"/>
    <w:link w:val="BalloonText"/>
    <w:uiPriority w:val="99"/>
    <w:semiHidden/>
    <w:rsid w:val="00D77634"/>
    <w:rPr>
      <w:rFonts w:ascii="Tahoma" w:eastAsia="Times New Roman" w:hAnsi="Tahoma" w:cs="Tahoma"/>
      <w:sz w:val="16"/>
      <w:szCs w:val="16"/>
      <w:lang w:eastAsia="en-GB"/>
    </w:rPr>
  </w:style>
  <w:style w:type="character" w:styleId="Hyperlink">
    <w:name w:val="Hyperlink"/>
    <w:uiPriority w:val="99"/>
    <w:unhideWhenUsed/>
    <w:rsid w:val="00563014"/>
    <w:rPr>
      <w:color w:val="0000FF"/>
      <w:u w:val="single"/>
    </w:rPr>
  </w:style>
  <w:style w:type="paragraph" w:styleId="ListParagraph">
    <w:name w:val="List Paragraph"/>
    <w:basedOn w:val="Normal"/>
    <w:uiPriority w:val="34"/>
    <w:qFormat/>
    <w:rsid w:val="00602263"/>
    <w:pPr>
      <w:ind w:left="720"/>
    </w:pPr>
  </w:style>
  <w:style w:type="character" w:styleId="Strong">
    <w:name w:val="Strong"/>
    <w:uiPriority w:val="22"/>
    <w:qFormat/>
    <w:rsid w:val="00A1321F"/>
    <w:rPr>
      <w:b/>
      <w:bCs/>
    </w:rPr>
  </w:style>
  <w:style w:type="character" w:customStyle="1" w:styleId="Heading1Char">
    <w:name w:val="Heading 1 Char"/>
    <w:link w:val="Heading1"/>
    <w:uiPriority w:val="9"/>
    <w:rsid w:val="00234119"/>
    <w:rPr>
      <w:rFonts w:ascii="Calibri Light" w:eastAsia="Times New Roman" w:hAnsi="Calibri Light" w:cs="Times New Roman"/>
      <w:b/>
      <w:bCs/>
      <w:kern w:val="32"/>
      <w:sz w:val="32"/>
      <w:szCs w:val="32"/>
    </w:rPr>
  </w:style>
  <w:style w:type="paragraph" w:styleId="NoSpacing">
    <w:name w:val="No Spacing"/>
    <w:uiPriority w:val="1"/>
    <w:qFormat/>
    <w:rsid w:val="00234119"/>
    <w:rPr>
      <w:rFonts w:ascii="Arial" w:eastAsia="Times New Roman" w:hAnsi="Arial"/>
      <w:sz w:val="24"/>
      <w:szCs w:val="24"/>
      <w:lang w:eastAsia="en-GB"/>
    </w:rPr>
  </w:style>
  <w:style w:type="character" w:styleId="FollowedHyperlink">
    <w:name w:val="FollowedHyperlink"/>
    <w:uiPriority w:val="99"/>
    <w:semiHidden/>
    <w:unhideWhenUsed/>
    <w:rsid w:val="00F560FE"/>
    <w:rPr>
      <w:color w:val="954F72"/>
      <w:u w:val="single"/>
    </w:rPr>
  </w:style>
  <w:style w:type="paragraph" w:customStyle="1" w:styleId="footnotedescription">
    <w:name w:val="footnote description"/>
    <w:next w:val="Normal"/>
    <w:link w:val="footnotedescriptionChar"/>
    <w:hidden/>
    <w:rsid w:val="005D25A9"/>
    <w:pPr>
      <w:spacing w:line="259" w:lineRule="auto"/>
      <w:ind w:left="360" w:right="338"/>
    </w:pPr>
    <w:rPr>
      <w:rFonts w:ascii="Arial" w:eastAsia="Arial" w:hAnsi="Arial" w:cs="Arial"/>
      <w:color w:val="000000"/>
      <w:sz w:val="18"/>
      <w:szCs w:val="22"/>
      <w:lang w:eastAsia="en-GB"/>
    </w:rPr>
  </w:style>
  <w:style w:type="character" w:customStyle="1" w:styleId="footnotedescriptionChar">
    <w:name w:val="footnote description Char"/>
    <w:link w:val="footnotedescription"/>
    <w:rsid w:val="005D25A9"/>
    <w:rPr>
      <w:rFonts w:ascii="Arial" w:eastAsia="Arial" w:hAnsi="Arial" w:cs="Arial"/>
      <w:color w:val="000000"/>
      <w:sz w:val="18"/>
      <w:szCs w:val="22"/>
    </w:rPr>
  </w:style>
  <w:style w:type="character" w:customStyle="1" w:styleId="footnotemark">
    <w:name w:val="footnote mark"/>
    <w:hidden/>
    <w:rsid w:val="005D25A9"/>
    <w:rPr>
      <w:rFonts w:ascii="Arial" w:eastAsia="Arial" w:hAnsi="Arial" w:cs="Arial"/>
      <w:color w:val="000000"/>
      <w:sz w:val="18"/>
      <w:vertAlign w:val="superscript"/>
    </w:rPr>
  </w:style>
  <w:style w:type="character" w:customStyle="1" w:styleId="Heading3Char">
    <w:name w:val="Heading 3 Char"/>
    <w:link w:val="Heading3"/>
    <w:uiPriority w:val="9"/>
    <w:semiHidden/>
    <w:rsid w:val="002932B5"/>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2932B5"/>
    <w:rPr>
      <w:rFonts w:ascii="Calibri" w:eastAsia="Times New Roman" w:hAnsi="Calibri" w:cs="Times New Roman"/>
      <w:b/>
      <w:bCs/>
      <w:sz w:val="28"/>
      <w:szCs w:val="28"/>
    </w:rPr>
  </w:style>
  <w:style w:type="character" w:styleId="PageNumber">
    <w:name w:val="page number"/>
    <w:basedOn w:val="DefaultParagraphFont"/>
    <w:uiPriority w:val="99"/>
    <w:rsid w:val="00242F5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6792">
      <w:bodyDiv w:val="1"/>
      <w:marLeft w:val="0"/>
      <w:marRight w:val="0"/>
      <w:marTop w:val="0"/>
      <w:marBottom w:val="0"/>
      <w:divBdr>
        <w:top w:val="none" w:sz="0" w:space="0" w:color="auto"/>
        <w:left w:val="none" w:sz="0" w:space="0" w:color="auto"/>
        <w:bottom w:val="none" w:sz="0" w:space="0" w:color="auto"/>
        <w:right w:val="none" w:sz="0" w:space="0" w:color="auto"/>
      </w:divBdr>
      <w:divsChild>
        <w:div w:id="1757438462">
          <w:marLeft w:val="547"/>
          <w:marRight w:val="0"/>
          <w:marTop w:val="200"/>
          <w:marBottom w:val="0"/>
          <w:divBdr>
            <w:top w:val="none" w:sz="0" w:space="0" w:color="auto"/>
            <w:left w:val="none" w:sz="0" w:space="0" w:color="auto"/>
            <w:bottom w:val="none" w:sz="0" w:space="0" w:color="auto"/>
            <w:right w:val="none" w:sz="0" w:space="0" w:color="auto"/>
          </w:divBdr>
        </w:div>
        <w:div w:id="120463378">
          <w:marLeft w:val="547"/>
          <w:marRight w:val="0"/>
          <w:marTop w:val="200"/>
          <w:marBottom w:val="0"/>
          <w:divBdr>
            <w:top w:val="none" w:sz="0" w:space="0" w:color="auto"/>
            <w:left w:val="none" w:sz="0" w:space="0" w:color="auto"/>
            <w:bottom w:val="none" w:sz="0" w:space="0" w:color="auto"/>
            <w:right w:val="none" w:sz="0" w:space="0" w:color="auto"/>
          </w:divBdr>
        </w:div>
        <w:div w:id="1138448818">
          <w:marLeft w:val="547"/>
          <w:marRight w:val="0"/>
          <w:marTop w:val="200"/>
          <w:marBottom w:val="0"/>
          <w:divBdr>
            <w:top w:val="none" w:sz="0" w:space="0" w:color="auto"/>
            <w:left w:val="none" w:sz="0" w:space="0" w:color="auto"/>
            <w:bottom w:val="none" w:sz="0" w:space="0" w:color="auto"/>
            <w:right w:val="none" w:sz="0" w:space="0" w:color="auto"/>
          </w:divBdr>
        </w:div>
        <w:div w:id="883979058">
          <w:marLeft w:val="547"/>
          <w:marRight w:val="0"/>
          <w:marTop w:val="200"/>
          <w:marBottom w:val="0"/>
          <w:divBdr>
            <w:top w:val="none" w:sz="0" w:space="0" w:color="auto"/>
            <w:left w:val="none" w:sz="0" w:space="0" w:color="auto"/>
            <w:bottom w:val="none" w:sz="0" w:space="0" w:color="auto"/>
            <w:right w:val="none" w:sz="0" w:space="0" w:color="auto"/>
          </w:divBdr>
        </w:div>
      </w:divsChild>
    </w:div>
    <w:div w:id="113058533">
      <w:bodyDiv w:val="1"/>
      <w:marLeft w:val="0"/>
      <w:marRight w:val="0"/>
      <w:marTop w:val="0"/>
      <w:marBottom w:val="0"/>
      <w:divBdr>
        <w:top w:val="none" w:sz="0" w:space="0" w:color="auto"/>
        <w:left w:val="none" w:sz="0" w:space="0" w:color="auto"/>
        <w:bottom w:val="none" w:sz="0" w:space="0" w:color="auto"/>
        <w:right w:val="none" w:sz="0" w:space="0" w:color="auto"/>
      </w:divBdr>
      <w:divsChild>
        <w:div w:id="226649356">
          <w:marLeft w:val="547"/>
          <w:marRight w:val="0"/>
          <w:marTop w:val="200"/>
          <w:marBottom w:val="0"/>
          <w:divBdr>
            <w:top w:val="none" w:sz="0" w:space="0" w:color="auto"/>
            <w:left w:val="none" w:sz="0" w:space="0" w:color="auto"/>
            <w:bottom w:val="none" w:sz="0" w:space="0" w:color="auto"/>
            <w:right w:val="none" w:sz="0" w:space="0" w:color="auto"/>
          </w:divBdr>
        </w:div>
        <w:div w:id="2045203412">
          <w:marLeft w:val="547"/>
          <w:marRight w:val="0"/>
          <w:marTop w:val="200"/>
          <w:marBottom w:val="0"/>
          <w:divBdr>
            <w:top w:val="none" w:sz="0" w:space="0" w:color="auto"/>
            <w:left w:val="none" w:sz="0" w:space="0" w:color="auto"/>
            <w:bottom w:val="none" w:sz="0" w:space="0" w:color="auto"/>
            <w:right w:val="none" w:sz="0" w:space="0" w:color="auto"/>
          </w:divBdr>
        </w:div>
        <w:div w:id="1269042003">
          <w:marLeft w:val="547"/>
          <w:marRight w:val="0"/>
          <w:marTop w:val="200"/>
          <w:marBottom w:val="0"/>
          <w:divBdr>
            <w:top w:val="none" w:sz="0" w:space="0" w:color="auto"/>
            <w:left w:val="none" w:sz="0" w:space="0" w:color="auto"/>
            <w:bottom w:val="none" w:sz="0" w:space="0" w:color="auto"/>
            <w:right w:val="none" w:sz="0" w:space="0" w:color="auto"/>
          </w:divBdr>
        </w:div>
        <w:div w:id="1232155725">
          <w:marLeft w:val="547"/>
          <w:marRight w:val="0"/>
          <w:marTop w:val="200"/>
          <w:marBottom w:val="0"/>
          <w:divBdr>
            <w:top w:val="none" w:sz="0" w:space="0" w:color="auto"/>
            <w:left w:val="none" w:sz="0" w:space="0" w:color="auto"/>
            <w:bottom w:val="none" w:sz="0" w:space="0" w:color="auto"/>
            <w:right w:val="none" w:sz="0" w:space="0" w:color="auto"/>
          </w:divBdr>
        </w:div>
      </w:divsChild>
    </w:div>
    <w:div w:id="319579704">
      <w:bodyDiv w:val="1"/>
      <w:marLeft w:val="0"/>
      <w:marRight w:val="0"/>
      <w:marTop w:val="0"/>
      <w:marBottom w:val="0"/>
      <w:divBdr>
        <w:top w:val="none" w:sz="0" w:space="0" w:color="auto"/>
        <w:left w:val="none" w:sz="0" w:space="0" w:color="auto"/>
        <w:bottom w:val="none" w:sz="0" w:space="0" w:color="auto"/>
        <w:right w:val="none" w:sz="0" w:space="0" w:color="auto"/>
      </w:divBdr>
      <w:divsChild>
        <w:div w:id="10291894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04448808">
              <w:marLeft w:val="0"/>
              <w:marRight w:val="0"/>
              <w:marTop w:val="0"/>
              <w:marBottom w:val="0"/>
              <w:divBdr>
                <w:top w:val="none" w:sz="0" w:space="0" w:color="auto"/>
                <w:left w:val="none" w:sz="0" w:space="0" w:color="auto"/>
                <w:bottom w:val="none" w:sz="0" w:space="0" w:color="auto"/>
                <w:right w:val="none" w:sz="0" w:space="0" w:color="auto"/>
              </w:divBdr>
              <w:divsChild>
                <w:div w:id="347222763">
                  <w:marLeft w:val="3600"/>
                  <w:marRight w:val="0"/>
                  <w:marTop w:val="0"/>
                  <w:marBottom w:val="0"/>
                  <w:divBdr>
                    <w:top w:val="none" w:sz="0" w:space="0" w:color="auto"/>
                    <w:left w:val="none" w:sz="0" w:space="0" w:color="auto"/>
                    <w:bottom w:val="none" w:sz="0" w:space="0" w:color="auto"/>
                    <w:right w:val="none" w:sz="0" w:space="0" w:color="auto"/>
                  </w:divBdr>
                </w:div>
                <w:div w:id="1339846919">
                  <w:marLeft w:val="3600"/>
                  <w:marRight w:val="0"/>
                  <w:marTop w:val="0"/>
                  <w:marBottom w:val="0"/>
                  <w:divBdr>
                    <w:top w:val="none" w:sz="0" w:space="0" w:color="auto"/>
                    <w:left w:val="none" w:sz="0" w:space="0" w:color="auto"/>
                    <w:bottom w:val="none" w:sz="0" w:space="0" w:color="auto"/>
                    <w:right w:val="none" w:sz="0" w:space="0" w:color="auto"/>
                  </w:divBdr>
                </w:div>
                <w:div w:id="1746687478">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85548">
      <w:bodyDiv w:val="1"/>
      <w:marLeft w:val="0"/>
      <w:marRight w:val="0"/>
      <w:marTop w:val="0"/>
      <w:marBottom w:val="0"/>
      <w:divBdr>
        <w:top w:val="none" w:sz="0" w:space="0" w:color="auto"/>
        <w:left w:val="none" w:sz="0" w:space="0" w:color="auto"/>
        <w:bottom w:val="none" w:sz="0" w:space="0" w:color="auto"/>
        <w:right w:val="none" w:sz="0" w:space="0" w:color="auto"/>
      </w:divBdr>
      <w:divsChild>
        <w:div w:id="672953406">
          <w:marLeft w:val="547"/>
          <w:marRight w:val="0"/>
          <w:marTop w:val="200"/>
          <w:marBottom w:val="0"/>
          <w:divBdr>
            <w:top w:val="none" w:sz="0" w:space="0" w:color="auto"/>
            <w:left w:val="none" w:sz="0" w:space="0" w:color="auto"/>
            <w:bottom w:val="none" w:sz="0" w:space="0" w:color="auto"/>
            <w:right w:val="none" w:sz="0" w:space="0" w:color="auto"/>
          </w:divBdr>
        </w:div>
        <w:div w:id="411706934">
          <w:marLeft w:val="547"/>
          <w:marRight w:val="0"/>
          <w:marTop w:val="200"/>
          <w:marBottom w:val="0"/>
          <w:divBdr>
            <w:top w:val="none" w:sz="0" w:space="0" w:color="auto"/>
            <w:left w:val="none" w:sz="0" w:space="0" w:color="auto"/>
            <w:bottom w:val="none" w:sz="0" w:space="0" w:color="auto"/>
            <w:right w:val="none" w:sz="0" w:space="0" w:color="auto"/>
          </w:divBdr>
        </w:div>
        <w:div w:id="754254229">
          <w:marLeft w:val="547"/>
          <w:marRight w:val="0"/>
          <w:marTop w:val="200"/>
          <w:marBottom w:val="0"/>
          <w:divBdr>
            <w:top w:val="none" w:sz="0" w:space="0" w:color="auto"/>
            <w:left w:val="none" w:sz="0" w:space="0" w:color="auto"/>
            <w:bottom w:val="none" w:sz="0" w:space="0" w:color="auto"/>
            <w:right w:val="none" w:sz="0" w:space="0" w:color="auto"/>
          </w:divBdr>
        </w:div>
        <w:div w:id="1814565810">
          <w:marLeft w:val="547"/>
          <w:marRight w:val="0"/>
          <w:marTop w:val="200"/>
          <w:marBottom w:val="0"/>
          <w:divBdr>
            <w:top w:val="none" w:sz="0" w:space="0" w:color="auto"/>
            <w:left w:val="none" w:sz="0" w:space="0" w:color="auto"/>
            <w:bottom w:val="none" w:sz="0" w:space="0" w:color="auto"/>
            <w:right w:val="none" w:sz="0" w:space="0" w:color="auto"/>
          </w:divBdr>
        </w:div>
      </w:divsChild>
    </w:div>
    <w:div w:id="659889046">
      <w:bodyDiv w:val="1"/>
      <w:marLeft w:val="0"/>
      <w:marRight w:val="0"/>
      <w:marTop w:val="0"/>
      <w:marBottom w:val="0"/>
      <w:divBdr>
        <w:top w:val="none" w:sz="0" w:space="0" w:color="auto"/>
        <w:left w:val="none" w:sz="0" w:space="0" w:color="auto"/>
        <w:bottom w:val="none" w:sz="0" w:space="0" w:color="auto"/>
        <w:right w:val="none" w:sz="0" w:space="0" w:color="auto"/>
      </w:divBdr>
      <w:divsChild>
        <w:div w:id="470754832">
          <w:marLeft w:val="547"/>
          <w:marRight w:val="0"/>
          <w:marTop w:val="200"/>
          <w:marBottom w:val="0"/>
          <w:divBdr>
            <w:top w:val="none" w:sz="0" w:space="0" w:color="auto"/>
            <w:left w:val="none" w:sz="0" w:space="0" w:color="auto"/>
            <w:bottom w:val="none" w:sz="0" w:space="0" w:color="auto"/>
            <w:right w:val="none" w:sz="0" w:space="0" w:color="auto"/>
          </w:divBdr>
        </w:div>
        <w:div w:id="676226546">
          <w:marLeft w:val="547"/>
          <w:marRight w:val="0"/>
          <w:marTop w:val="200"/>
          <w:marBottom w:val="0"/>
          <w:divBdr>
            <w:top w:val="none" w:sz="0" w:space="0" w:color="auto"/>
            <w:left w:val="none" w:sz="0" w:space="0" w:color="auto"/>
            <w:bottom w:val="none" w:sz="0" w:space="0" w:color="auto"/>
            <w:right w:val="none" w:sz="0" w:space="0" w:color="auto"/>
          </w:divBdr>
        </w:div>
        <w:div w:id="5593132">
          <w:marLeft w:val="547"/>
          <w:marRight w:val="0"/>
          <w:marTop w:val="200"/>
          <w:marBottom w:val="0"/>
          <w:divBdr>
            <w:top w:val="none" w:sz="0" w:space="0" w:color="auto"/>
            <w:left w:val="none" w:sz="0" w:space="0" w:color="auto"/>
            <w:bottom w:val="none" w:sz="0" w:space="0" w:color="auto"/>
            <w:right w:val="none" w:sz="0" w:space="0" w:color="auto"/>
          </w:divBdr>
        </w:div>
      </w:divsChild>
    </w:div>
    <w:div w:id="1020886947">
      <w:bodyDiv w:val="1"/>
      <w:marLeft w:val="0"/>
      <w:marRight w:val="0"/>
      <w:marTop w:val="0"/>
      <w:marBottom w:val="0"/>
      <w:divBdr>
        <w:top w:val="none" w:sz="0" w:space="0" w:color="auto"/>
        <w:left w:val="none" w:sz="0" w:space="0" w:color="auto"/>
        <w:bottom w:val="none" w:sz="0" w:space="0" w:color="auto"/>
        <w:right w:val="none" w:sz="0" w:space="0" w:color="auto"/>
      </w:divBdr>
      <w:divsChild>
        <w:div w:id="1087995526">
          <w:marLeft w:val="547"/>
          <w:marRight w:val="0"/>
          <w:marTop w:val="200"/>
          <w:marBottom w:val="0"/>
          <w:divBdr>
            <w:top w:val="none" w:sz="0" w:space="0" w:color="auto"/>
            <w:left w:val="none" w:sz="0" w:space="0" w:color="auto"/>
            <w:bottom w:val="none" w:sz="0" w:space="0" w:color="auto"/>
            <w:right w:val="none" w:sz="0" w:space="0" w:color="auto"/>
          </w:divBdr>
        </w:div>
        <w:div w:id="1749617202">
          <w:marLeft w:val="547"/>
          <w:marRight w:val="0"/>
          <w:marTop w:val="200"/>
          <w:marBottom w:val="0"/>
          <w:divBdr>
            <w:top w:val="none" w:sz="0" w:space="0" w:color="auto"/>
            <w:left w:val="none" w:sz="0" w:space="0" w:color="auto"/>
            <w:bottom w:val="none" w:sz="0" w:space="0" w:color="auto"/>
            <w:right w:val="none" w:sz="0" w:space="0" w:color="auto"/>
          </w:divBdr>
        </w:div>
        <w:div w:id="1317949627">
          <w:marLeft w:val="547"/>
          <w:marRight w:val="0"/>
          <w:marTop w:val="200"/>
          <w:marBottom w:val="0"/>
          <w:divBdr>
            <w:top w:val="none" w:sz="0" w:space="0" w:color="auto"/>
            <w:left w:val="none" w:sz="0" w:space="0" w:color="auto"/>
            <w:bottom w:val="none" w:sz="0" w:space="0" w:color="auto"/>
            <w:right w:val="none" w:sz="0" w:space="0" w:color="auto"/>
          </w:divBdr>
        </w:div>
      </w:divsChild>
    </w:div>
    <w:div w:id="1937322625">
      <w:bodyDiv w:val="1"/>
      <w:marLeft w:val="0"/>
      <w:marRight w:val="0"/>
      <w:marTop w:val="0"/>
      <w:marBottom w:val="0"/>
      <w:divBdr>
        <w:top w:val="none" w:sz="0" w:space="0" w:color="auto"/>
        <w:left w:val="none" w:sz="0" w:space="0" w:color="auto"/>
        <w:bottom w:val="none" w:sz="0" w:space="0" w:color="auto"/>
        <w:right w:val="none" w:sz="0" w:space="0" w:color="auto"/>
      </w:divBdr>
      <w:divsChild>
        <w:div w:id="201537687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66682628">
              <w:marLeft w:val="0"/>
              <w:marRight w:val="0"/>
              <w:marTop w:val="0"/>
              <w:marBottom w:val="0"/>
              <w:divBdr>
                <w:top w:val="none" w:sz="0" w:space="0" w:color="auto"/>
                <w:left w:val="none" w:sz="0" w:space="0" w:color="auto"/>
                <w:bottom w:val="none" w:sz="0" w:space="0" w:color="auto"/>
                <w:right w:val="none" w:sz="0" w:space="0" w:color="auto"/>
              </w:divBdr>
              <w:divsChild>
                <w:div w:id="1212154087">
                  <w:marLeft w:val="3600"/>
                  <w:marRight w:val="0"/>
                  <w:marTop w:val="0"/>
                  <w:marBottom w:val="0"/>
                  <w:divBdr>
                    <w:top w:val="none" w:sz="0" w:space="0" w:color="auto"/>
                    <w:left w:val="none" w:sz="0" w:space="0" w:color="auto"/>
                    <w:bottom w:val="none" w:sz="0" w:space="0" w:color="auto"/>
                    <w:right w:val="none" w:sz="0" w:space="0" w:color="auto"/>
                  </w:divBdr>
                </w:div>
                <w:div w:id="1240093357">
                  <w:marLeft w:val="3600"/>
                  <w:marRight w:val="0"/>
                  <w:marTop w:val="0"/>
                  <w:marBottom w:val="0"/>
                  <w:divBdr>
                    <w:top w:val="none" w:sz="0" w:space="0" w:color="auto"/>
                    <w:left w:val="none" w:sz="0" w:space="0" w:color="auto"/>
                    <w:bottom w:val="none" w:sz="0" w:space="0" w:color="auto"/>
                    <w:right w:val="none" w:sz="0" w:space="0" w:color="auto"/>
                  </w:divBdr>
                </w:div>
                <w:div w:id="2074548294">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E9D6F-F92A-4253-9FB0-E37B8E1B2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6334</CharactersWithSpaces>
  <SharedDoc>false</SharedDoc>
  <HLinks>
    <vt:vector size="198" baseType="variant">
      <vt:variant>
        <vt:i4>1507417</vt:i4>
      </vt:variant>
      <vt:variant>
        <vt:i4>99</vt:i4>
      </vt:variant>
      <vt:variant>
        <vt:i4>0</vt:i4>
      </vt:variant>
      <vt:variant>
        <vt:i4>5</vt:i4>
      </vt:variant>
      <vt:variant>
        <vt:lpwstr>https://www.gov.uk/government/publications/working-together-to-safeguard-children--2</vt:lpwstr>
      </vt:variant>
      <vt:variant>
        <vt:lpwstr/>
      </vt:variant>
      <vt:variant>
        <vt:i4>1507417</vt:i4>
      </vt:variant>
      <vt:variant>
        <vt:i4>96</vt:i4>
      </vt:variant>
      <vt:variant>
        <vt:i4>0</vt:i4>
      </vt:variant>
      <vt:variant>
        <vt:i4>5</vt:i4>
      </vt:variant>
      <vt:variant>
        <vt:lpwstr>https://www.gov.uk/government/publications/working-together-to-safeguard-children--2</vt:lpwstr>
      </vt:variant>
      <vt:variant>
        <vt:lpwstr/>
      </vt:variant>
      <vt:variant>
        <vt:i4>7733301</vt:i4>
      </vt:variant>
      <vt:variant>
        <vt:i4>90</vt:i4>
      </vt:variant>
      <vt:variant>
        <vt:i4>0</vt:i4>
      </vt:variant>
      <vt:variant>
        <vt:i4>5</vt:i4>
      </vt:variant>
      <vt:variant>
        <vt:lpwstr>http://www3.hants.gov.uk/childrens-services/childrenandyoungpeople/child-protection.htm</vt:lpwstr>
      </vt:variant>
      <vt:variant>
        <vt:lpwstr/>
      </vt:variant>
      <vt:variant>
        <vt:i4>4194387</vt:i4>
      </vt:variant>
      <vt:variant>
        <vt:i4>87</vt:i4>
      </vt:variant>
      <vt:variant>
        <vt:i4>0</vt:i4>
      </vt:variant>
      <vt:variant>
        <vt:i4>5</vt:i4>
      </vt:variant>
      <vt:variant>
        <vt:lpwstr>http://www.hampshiresafeguardingchildrenboard.org.uk/</vt:lpwstr>
      </vt:variant>
      <vt:variant>
        <vt:lpwstr/>
      </vt:variant>
      <vt:variant>
        <vt:i4>327767</vt:i4>
      </vt:variant>
      <vt:variant>
        <vt:i4>84</vt:i4>
      </vt:variant>
      <vt:variant>
        <vt:i4>0</vt:i4>
      </vt:variant>
      <vt:variant>
        <vt:i4>5</vt:i4>
      </vt:variant>
      <vt:variant>
        <vt:lpwstr>http://southamptonlscb.co.uk/</vt:lpwstr>
      </vt:variant>
      <vt:variant>
        <vt:lpwstr/>
      </vt:variant>
      <vt:variant>
        <vt:i4>6750256</vt:i4>
      </vt:variant>
      <vt:variant>
        <vt:i4>81</vt:i4>
      </vt:variant>
      <vt:variant>
        <vt:i4>0</vt:i4>
      </vt:variant>
      <vt:variant>
        <vt:i4>5</vt:i4>
      </vt:variant>
      <vt:variant>
        <vt:lpwstr>http://4lscb.proceduresonline.com/</vt:lpwstr>
      </vt:variant>
      <vt:variant>
        <vt:lpwstr/>
      </vt:variant>
      <vt:variant>
        <vt:i4>6029337</vt:i4>
      </vt:variant>
      <vt:variant>
        <vt:i4>78</vt:i4>
      </vt:variant>
      <vt:variant>
        <vt:i4>0</vt:i4>
      </vt:variant>
      <vt:variant>
        <vt:i4>5</vt:i4>
      </vt:variant>
      <vt:variant>
        <vt:lpwstr>https://www.refuge.org.uk/our-work/forms-of-violence-and-abuse/domestic-violence/</vt:lpwstr>
      </vt:variant>
      <vt:variant>
        <vt:lpwstr/>
      </vt:variant>
      <vt:variant>
        <vt:i4>5374036</vt:i4>
      </vt:variant>
      <vt:variant>
        <vt:i4>75</vt:i4>
      </vt:variant>
      <vt:variant>
        <vt:i4>0</vt:i4>
      </vt:variant>
      <vt:variant>
        <vt:i4>5</vt:i4>
      </vt:variant>
      <vt:variant>
        <vt:lpwstr>https://www.nspcc.org.uk/preventing-abuse/child-abuse-and-neglect/domestic-abuse/signs-symptoms-effects/</vt:lpwstr>
      </vt:variant>
      <vt:variant>
        <vt:lpwstr/>
      </vt:variant>
      <vt:variant>
        <vt:i4>8126518</vt:i4>
      </vt:variant>
      <vt:variant>
        <vt:i4>72</vt:i4>
      </vt:variant>
      <vt:variant>
        <vt:i4>0</vt:i4>
      </vt:variant>
      <vt:variant>
        <vt:i4>5</vt:i4>
      </vt:variant>
      <vt:variant>
        <vt:lpwstr>https://www.gov.uk/government/uploads/system/uploads/attachment_data/file/418131/Preventing_youth_violence_and_gang_involvement_v3_March2015.pdf</vt:lpwstr>
      </vt:variant>
      <vt:variant>
        <vt:lpwstr/>
      </vt:variant>
      <vt:variant>
        <vt:i4>5046280</vt:i4>
      </vt:variant>
      <vt:variant>
        <vt:i4>69</vt:i4>
      </vt:variant>
      <vt:variant>
        <vt:i4>0</vt:i4>
      </vt:variant>
      <vt:variant>
        <vt:i4>5</vt:i4>
      </vt:variant>
      <vt:variant>
        <vt:lpwstr>https://www.gov.uk/government/uploads/system/uploads/attachment_data/file/322307/HMG_MULTI_AGENCY_PRACTICE_GUIDELINES_v1_180614_FINAL.pdf</vt:lpwstr>
      </vt:variant>
      <vt:variant>
        <vt:lpwstr/>
      </vt:variant>
      <vt:variant>
        <vt:i4>5046280</vt:i4>
      </vt:variant>
      <vt:variant>
        <vt:i4>66</vt:i4>
      </vt:variant>
      <vt:variant>
        <vt:i4>0</vt:i4>
      </vt:variant>
      <vt:variant>
        <vt:i4>5</vt:i4>
      </vt:variant>
      <vt:variant>
        <vt:lpwstr>https://www.gov.uk/government/uploads/system/uploads/attachment_data/file/322307/HMG_MULTI_AGENCY_PRACTICE_GUIDELINES_v1_180614_FINAL.pdf</vt:lpwstr>
      </vt:variant>
      <vt:variant>
        <vt:lpwstr/>
      </vt:variant>
      <vt:variant>
        <vt:i4>3407997</vt:i4>
      </vt:variant>
      <vt:variant>
        <vt:i4>63</vt:i4>
      </vt:variant>
      <vt:variant>
        <vt:i4>0</vt:i4>
      </vt:variant>
      <vt:variant>
        <vt:i4>5</vt:i4>
      </vt:variant>
      <vt:variant>
        <vt:lpwstr>https://www.gov.uk/government/publications/mandatory-reporting-of-female-genital-mutilation-procedural-information</vt:lpwstr>
      </vt:variant>
      <vt:variant>
        <vt:lpwstr/>
      </vt:variant>
      <vt:variant>
        <vt:i4>3407997</vt:i4>
      </vt:variant>
      <vt:variant>
        <vt:i4>60</vt:i4>
      </vt:variant>
      <vt:variant>
        <vt:i4>0</vt:i4>
      </vt:variant>
      <vt:variant>
        <vt:i4>5</vt:i4>
      </vt:variant>
      <vt:variant>
        <vt:lpwstr>https://www.gov.uk/government/publications/mandatory-reporting-of-female-genital-mutilation-procedural-information</vt:lpwstr>
      </vt:variant>
      <vt:variant>
        <vt:lpwstr/>
      </vt:variant>
      <vt:variant>
        <vt:i4>3407997</vt:i4>
      </vt:variant>
      <vt:variant>
        <vt:i4>57</vt:i4>
      </vt:variant>
      <vt:variant>
        <vt:i4>0</vt:i4>
      </vt:variant>
      <vt:variant>
        <vt:i4>5</vt:i4>
      </vt:variant>
      <vt:variant>
        <vt:lpwstr>https://www.gov.uk/government/publications/mandatory-reporting-of-female-genital-mutilation-procedural-information</vt:lpwstr>
      </vt:variant>
      <vt:variant>
        <vt:lpwstr/>
      </vt:variant>
      <vt:variant>
        <vt:i4>3407997</vt:i4>
      </vt:variant>
      <vt:variant>
        <vt:i4>54</vt:i4>
      </vt:variant>
      <vt:variant>
        <vt:i4>0</vt:i4>
      </vt:variant>
      <vt:variant>
        <vt:i4>5</vt:i4>
      </vt:variant>
      <vt:variant>
        <vt:lpwstr>https://www.gov.uk/government/publications/mandatory-reporting-of-female-genital-mutilation-procedural-information</vt:lpwstr>
      </vt:variant>
      <vt:variant>
        <vt:lpwstr/>
      </vt:variant>
      <vt:variant>
        <vt:i4>5046280</vt:i4>
      </vt:variant>
      <vt:variant>
        <vt:i4>51</vt:i4>
      </vt:variant>
      <vt:variant>
        <vt:i4>0</vt:i4>
      </vt:variant>
      <vt:variant>
        <vt:i4>5</vt:i4>
      </vt:variant>
      <vt:variant>
        <vt:lpwstr>https://www.gov.uk/government/uploads/system/uploads/attachment_data/file/322307/HMG_MULTI_AGENCY_PRACTICE_GUIDELINES_v1_180614_FINAL.pdf</vt:lpwstr>
      </vt:variant>
      <vt:variant>
        <vt:lpwstr/>
      </vt:variant>
      <vt:variant>
        <vt:i4>5046280</vt:i4>
      </vt:variant>
      <vt:variant>
        <vt:i4>48</vt:i4>
      </vt:variant>
      <vt:variant>
        <vt:i4>0</vt:i4>
      </vt:variant>
      <vt:variant>
        <vt:i4>5</vt:i4>
      </vt:variant>
      <vt:variant>
        <vt:lpwstr>https://www.gov.uk/government/uploads/system/uploads/attachment_data/file/322307/HMG_MULTI_AGENCY_PRACTICE_GUIDELINES_v1_180614_FINAL.pdf</vt:lpwstr>
      </vt:variant>
      <vt:variant>
        <vt:lpwstr/>
      </vt:variant>
      <vt:variant>
        <vt:i4>6750215</vt:i4>
      </vt:variant>
      <vt:variant>
        <vt:i4>45</vt:i4>
      </vt:variant>
      <vt:variant>
        <vt:i4>0</vt:i4>
      </vt:variant>
      <vt:variant>
        <vt:i4>5</vt:i4>
      </vt:variant>
      <vt:variant>
        <vt:lpwstr>https://www.gov.uk/government/uploads/system/uploads/attachment_data/file/512906/Multi_Agency_Statutory_Guidance_on_FGM__-_FINAL.pdf</vt:lpwstr>
      </vt:variant>
      <vt:variant>
        <vt:lpwstr/>
      </vt:variant>
      <vt:variant>
        <vt:i4>6750215</vt:i4>
      </vt:variant>
      <vt:variant>
        <vt:i4>42</vt:i4>
      </vt:variant>
      <vt:variant>
        <vt:i4>0</vt:i4>
      </vt:variant>
      <vt:variant>
        <vt:i4>5</vt:i4>
      </vt:variant>
      <vt:variant>
        <vt:lpwstr>https://www.gov.uk/government/uploads/system/uploads/attachment_data/file/512906/Multi_Agency_Statutory_Guidance_on_FGM__-_FINAL.pdf</vt:lpwstr>
      </vt:variant>
      <vt:variant>
        <vt:lpwstr/>
      </vt:variant>
      <vt:variant>
        <vt:i4>6750215</vt:i4>
      </vt:variant>
      <vt:variant>
        <vt:i4>39</vt:i4>
      </vt:variant>
      <vt:variant>
        <vt:i4>0</vt:i4>
      </vt:variant>
      <vt:variant>
        <vt:i4>5</vt:i4>
      </vt:variant>
      <vt:variant>
        <vt:lpwstr>https://www.gov.uk/government/uploads/system/uploads/attachment_data/file/512906/Multi_Agency_Statutory_Guidance_on_FGM__-_FINAL.pdf</vt:lpwstr>
      </vt:variant>
      <vt:variant>
        <vt:lpwstr/>
      </vt:variant>
      <vt:variant>
        <vt:i4>6750215</vt:i4>
      </vt:variant>
      <vt:variant>
        <vt:i4>36</vt:i4>
      </vt:variant>
      <vt:variant>
        <vt:i4>0</vt:i4>
      </vt:variant>
      <vt:variant>
        <vt:i4>5</vt:i4>
      </vt:variant>
      <vt:variant>
        <vt:lpwstr>https://www.gov.uk/government/uploads/system/uploads/attachment_data/file/512906/Multi_Agency_Statutory_Guidance_on_FGM__-_FINAL.pdf</vt:lpwstr>
      </vt:variant>
      <vt:variant>
        <vt:lpwstr/>
      </vt:variant>
      <vt:variant>
        <vt:i4>1572876</vt:i4>
      </vt:variant>
      <vt:variant>
        <vt:i4>33</vt:i4>
      </vt:variant>
      <vt:variant>
        <vt:i4>0</vt:i4>
      </vt:variant>
      <vt:variant>
        <vt:i4>5</vt:i4>
      </vt:variant>
      <vt:variant>
        <vt:lpwstr>http://www.safeguardinginschools.co.uk/wp-content/uploads/2016/08/Sexting-in-schools-and-colleges-UKCCIS-August-2016.pdf</vt:lpwstr>
      </vt:variant>
      <vt:variant>
        <vt:lpwstr/>
      </vt:variant>
      <vt:variant>
        <vt:i4>7667758</vt:i4>
      </vt:variant>
      <vt:variant>
        <vt:i4>30</vt:i4>
      </vt:variant>
      <vt:variant>
        <vt:i4>0</vt:i4>
      </vt:variant>
      <vt:variant>
        <vt:i4>5</vt:i4>
      </vt:variant>
      <vt:variant>
        <vt:lpwstr>http://course.ncalt.com/Channel_General_Awareness/01/index.html</vt:lpwstr>
      </vt:variant>
      <vt:variant>
        <vt:lpwstr/>
      </vt:variant>
      <vt:variant>
        <vt:i4>3670036</vt:i4>
      </vt:variant>
      <vt:variant>
        <vt:i4>27</vt:i4>
      </vt:variant>
      <vt:variant>
        <vt:i4>0</vt:i4>
      </vt:variant>
      <vt:variant>
        <vt:i4>5</vt:i4>
      </vt:variant>
      <vt:variant>
        <vt:lpwstr>https://www.gov.uk/government/uploads/system/uploads/attachment_data/file/445977/3799_Revised_Prevent_Duty_Guidance__England_Wales_V2-Interactive.pdf</vt:lpwstr>
      </vt:variant>
      <vt:variant>
        <vt:lpwstr/>
      </vt:variant>
      <vt:variant>
        <vt:i4>2883621</vt:i4>
      </vt:variant>
      <vt:variant>
        <vt:i4>24</vt:i4>
      </vt:variant>
      <vt:variant>
        <vt:i4>0</vt:i4>
      </vt:variant>
      <vt:variant>
        <vt:i4>5</vt:i4>
      </vt:variant>
      <vt:variant>
        <vt:lpwstr>https://www.gov.uk/government/news/home-office-launches-child-abuse-whistleblowing-helpline</vt:lpwstr>
      </vt:variant>
      <vt:variant>
        <vt:lpwstr/>
      </vt:variant>
      <vt:variant>
        <vt:i4>2883621</vt:i4>
      </vt:variant>
      <vt:variant>
        <vt:i4>21</vt:i4>
      </vt:variant>
      <vt:variant>
        <vt:i4>0</vt:i4>
      </vt:variant>
      <vt:variant>
        <vt:i4>5</vt:i4>
      </vt:variant>
      <vt:variant>
        <vt:lpwstr>https://www.gov.uk/government/news/home-office-launches-child-abuse-whistleblowing-helpline</vt:lpwstr>
      </vt:variant>
      <vt:variant>
        <vt:lpwstr/>
      </vt:variant>
      <vt:variant>
        <vt:i4>1572888</vt:i4>
      </vt:variant>
      <vt:variant>
        <vt:i4>18</vt:i4>
      </vt:variant>
      <vt:variant>
        <vt:i4>0</vt:i4>
      </vt:variant>
      <vt:variant>
        <vt:i4>5</vt:i4>
      </vt:variant>
      <vt:variant>
        <vt:lpwstr>https://www.gov.uk/whistleblowing</vt:lpwstr>
      </vt:variant>
      <vt:variant>
        <vt:lpwstr/>
      </vt:variant>
      <vt:variant>
        <vt:i4>1572888</vt:i4>
      </vt:variant>
      <vt:variant>
        <vt:i4>15</vt:i4>
      </vt:variant>
      <vt:variant>
        <vt:i4>0</vt:i4>
      </vt:variant>
      <vt:variant>
        <vt:i4>5</vt:i4>
      </vt:variant>
      <vt:variant>
        <vt:lpwstr>https://www.gov.uk/whistleblowing</vt:lpwstr>
      </vt:variant>
      <vt:variant>
        <vt:lpwstr/>
      </vt:variant>
      <vt:variant>
        <vt:i4>6750256</vt:i4>
      </vt:variant>
      <vt:variant>
        <vt:i4>12</vt:i4>
      </vt:variant>
      <vt:variant>
        <vt:i4>0</vt:i4>
      </vt:variant>
      <vt:variant>
        <vt:i4>5</vt:i4>
      </vt:variant>
      <vt:variant>
        <vt:lpwstr>http://4lscb.proceduresonline.com/</vt:lpwstr>
      </vt:variant>
      <vt:variant>
        <vt:lpwstr/>
      </vt:variant>
      <vt:variant>
        <vt:i4>4194387</vt:i4>
      </vt:variant>
      <vt:variant>
        <vt:i4>9</vt:i4>
      </vt:variant>
      <vt:variant>
        <vt:i4>0</vt:i4>
      </vt:variant>
      <vt:variant>
        <vt:i4>5</vt:i4>
      </vt:variant>
      <vt:variant>
        <vt:lpwstr>http://www.hampshiresafeguardingchildrenboard.org.uk/</vt:lpwstr>
      </vt:variant>
      <vt:variant>
        <vt:lpwstr/>
      </vt:variant>
      <vt:variant>
        <vt:i4>327767</vt:i4>
      </vt:variant>
      <vt:variant>
        <vt:i4>6</vt:i4>
      </vt:variant>
      <vt:variant>
        <vt:i4>0</vt:i4>
      </vt:variant>
      <vt:variant>
        <vt:i4>5</vt:i4>
      </vt:variant>
      <vt:variant>
        <vt:lpwstr>http://southamptonlscb.co.uk/</vt:lpwstr>
      </vt:variant>
      <vt:variant>
        <vt:lpwstr/>
      </vt:variant>
      <vt:variant>
        <vt:i4>7274580</vt:i4>
      </vt:variant>
      <vt:variant>
        <vt:i4>3</vt:i4>
      </vt:variant>
      <vt:variant>
        <vt:i4>0</vt:i4>
      </vt:variant>
      <vt:variant>
        <vt:i4>5</vt:i4>
      </vt:variant>
      <vt:variant>
        <vt:lpwstr>http://www.thegrid.org.uk/info/welfare/child_protection/allegations/safe.shtml</vt:lpwstr>
      </vt:variant>
      <vt:variant>
        <vt:lpwstr/>
      </vt:variant>
      <vt:variant>
        <vt:i4>1900617</vt:i4>
      </vt:variant>
      <vt:variant>
        <vt:i4>0</vt:i4>
      </vt:variant>
      <vt:variant>
        <vt:i4>0</vt:i4>
      </vt:variant>
      <vt:variant>
        <vt:i4>5</vt:i4>
      </vt:variant>
      <vt:variant>
        <vt:lpwstr>http://www.nspcc.org.uk/signsofabuse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Mitchell</dc:creator>
  <cp:keywords/>
  <cp:lastModifiedBy>Anita Jolley</cp:lastModifiedBy>
  <cp:revision>3</cp:revision>
  <cp:lastPrinted>2018-10-17T12:47:00Z</cp:lastPrinted>
  <dcterms:created xsi:type="dcterms:W3CDTF">2023-06-14T11:40:00Z</dcterms:created>
  <dcterms:modified xsi:type="dcterms:W3CDTF">2023-11-15T16:44:00Z</dcterms:modified>
</cp:coreProperties>
</file>